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F2F9" w14:textId="77777777" w:rsidR="00FF6FEA" w:rsidRDefault="00FF6FEA" w:rsidP="003728E2">
      <w:pPr>
        <w:pStyle w:val="Default"/>
        <w:spacing w:line="288" w:lineRule="auto"/>
        <w:jc w:val="center"/>
        <w:rPr>
          <w:rFonts w:asciiTheme="minorHAnsi" w:hAnsiTheme="minorHAnsi" w:cstheme="minorHAnsi"/>
          <w:b/>
          <w:bCs/>
          <w:sz w:val="32"/>
          <w:szCs w:val="32"/>
        </w:rPr>
      </w:pPr>
      <w:bookmarkStart w:id="0" w:name="_Hlk26429637"/>
    </w:p>
    <w:p w14:paraId="36158948" w14:textId="7447A196" w:rsidR="00C753DE" w:rsidRPr="00FF6FEA" w:rsidRDefault="00C753DE" w:rsidP="003728E2">
      <w:pPr>
        <w:pStyle w:val="Default"/>
        <w:spacing w:line="288" w:lineRule="auto"/>
        <w:jc w:val="center"/>
        <w:rPr>
          <w:rFonts w:asciiTheme="minorHAnsi" w:hAnsiTheme="minorHAnsi" w:cstheme="minorHAnsi"/>
          <w:sz w:val="32"/>
          <w:szCs w:val="32"/>
        </w:rPr>
      </w:pPr>
      <w:r w:rsidRPr="00FF6FEA">
        <w:rPr>
          <w:rFonts w:asciiTheme="minorHAnsi" w:hAnsiTheme="minorHAnsi" w:cstheme="minorHAnsi"/>
          <w:b/>
          <w:bCs/>
          <w:sz w:val="32"/>
          <w:szCs w:val="32"/>
        </w:rPr>
        <w:t xml:space="preserve">A hálózati </w:t>
      </w:r>
      <w:r w:rsidR="00C749A9" w:rsidRPr="00FF6FEA">
        <w:rPr>
          <w:rFonts w:asciiTheme="minorHAnsi" w:hAnsiTheme="minorHAnsi" w:cstheme="minorHAnsi"/>
          <w:b/>
          <w:bCs/>
          <w:sz w:val="32"/>
          <w:szCs w:val="32"/>
        </w:rPr>
        <w:t>összekapcsolás feltételei</w:t>
      </w:r>
    </w:p>
    <w:bookmarkEnd w:id="0"/>
    <w:p w14:paraId="7340610D" w14:textId="77777777" w:rsidR="008428D7" w:rsidRPr="00FF6FEA" w:rsidRDefault="008428D7" w:rsidP="008428D7">
      <w:pPr>
        <w:pStyle w:val="Default"/>
        <w:spacing w:line="288" w:lineRule="auto"/>
        <w:jc w:val="both"/>
        <w:rPr>
          <w:rFonts w:asciiTheme="minorHAnsi" w:hAnsiTheme="minorHAnsi" w:cstheme="minorHAnsi"/>
          <w:sz w:val="22"/>
          <w:szCs w:val="22"/>
        </w:rPr>
      </w:pPr>
    </w:p>
    <w:p w14:paraId="39857D6C" w14:textId="77777777" w:rsidR="00E93CD2" w:rsidRPr="00FF6FEA" w:rsidRDefault="00E93CD2" w:rsidP="008428D7">
      <w:pPr>
        <w:pStyle w:val="Default"/>
        <w:spacing w:line="288" w:lineRule="auto"/>
        <w:jc w:val="both"/>
        <w:rPr>
          <w:rFonts w:asciiTheme="minorHAnsi" w:hAnsiTheme="minorHAnsi" w:cstheme="minorHAnsi"/>
          <w:sz w:val="22"/>
          <w:szCs w:val="22"/>
        </w:rPr>
      </w:pPr>
    </w:p>
    <w:p w14:paraId="07D81E05" w14:textId="0C4E7905" w:rsidR="00C753DE" w:rsidRPr="00FF6FEA" w:rsidRDefault="00F311CB" w:rsidP="008428D7">
      <w:pPr>
        <w:pStyle w:val="Default"/>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A Telenor Magyarország ezúton teszi közzé a</w:t>
      </w:r>
      <w:r w:rsidR="00C753DE" w:rsidRPr="00FF6FEA">
        <w:rPr>
          <w:rFonts w:asciiTheme="minorHAnsi" w:hAnsiTheme="minorHAnsi" w:cstheme="minorHAnsi"/>
          <w:sz w:val="22"/>
          <w:szCs w:val="22"/>
        </w:rPr>
        <w:t xml:space="preserve"> Nemzeti Média- és Hírközlési Hatóság Elnökének </w:t>
      </w:r>
      <w:r w:rsidR="00783EBB" w:rsidRPr="00FF6FEA">
        <w:rPr>
          <w:rFonts w:asciiTheme="minorHAnsi" w:hAnsiTheme="minorHAnsi" w:cstheme="minorHAnsi"/>
          <w:sz w:val="22"/>
          <w:szCs w:val="22"/>
        </w:rPr>
        <w:t>BI</w:t>
      </w:r>
      <w:r w:rsidR="00C753DE" w:rsidRPr="00FF6FEA">
        <w:rPr>
          <w:rFonts w:asciiTheme="minorHAnsi" w:hAnsiTheme="minorHAnsi" w:cstheme="minorHAnsi"/>
          <w:sz w:val="22"/>
          <w:szCs w:val="22"/>
        </w:rPr>
        <w:t>/</w:t>
      </w:r>
      <w:r w:rsidR="00783EBB" w:rsidRPr="00FF6FEA">
        <w:rPr>
          <w:rFonts w:asciiTheme="minorHAnsi" w:hAnsiTheme="minorHAnsi" w:cstheme="minorHAnsi"/>
          <w:sz w:val="22"/>
          <w:szCs w:val="22"/>
        </w:rPr>
        <w:t>30556-59</w:t>
      </w:r>
      <w:r w:rsidR="00C753DE" w:rsidRPr="00FF6FEA">
        <w:rPr>
          <w:rFonts w:asciiTheme="minorHAnsi" w:hAnsiTheme="minorHAnsi" w:cstheme="minorHAnsi"/>
          <w:sz w:val="22"/>
          <w:szCs w:val="22"/>
        </w:rPr>
        <w:t>/201</w:t>
      </w:r>
      <w:r w:rsidR="00783EBB" w:rsidRPr="00FF6FEA">
        <w:rPr>
          <w:rFonts w:asciiTheme="minorHAnsi" w:hAnsiTheme="minorHAnsi" w:cstheme="minorHAnsi"/>
          <w:sz w:val="22"/>
          <w:szCs w:val="22"/>
        </w:rPr>
        <w:t>4</w:t>
      </w:r>
      <w:r w:rsidR="00C753DE" w:rsidRPr="00FF6FEA">
        <w:rPr>
          <w:rFonts w:asciiTheme="minorHAnsi" w:hAnsiTheme="minorHAnsi" w:cstheme="minorHAnsi"/>
          <w:sz w:val="22"/>
          <w:szCs w:val="22"/>
        </w:rPr>
        <w:t xml:space="preserve"> számú határozatába</w:t>
      </w:r>
      <w:r w:rsidR="003E0B39" w:rsidRPr="00FF6FEA">
        <w:rPr>
          <w:rFonts w:asciiTheme="minorHAnsi" w:hAnsiTheme="minorHAnsi" w:cstheme="minorHAnsi"/>
          <w:sz w:val="22"/>
          <w:szCs w:val="22"/>
        </w:rPr>
        <w:t>n</w:t>
      </w:r>
      <w:r w:rsidR="00E20BD7" w:rsidRPr="00FF6FEA">
        <w:rPr>
          <w:rFonts w:asciiTheme="minorHAnsi" w:hAnsiTheme="minorHAnsi" w:cstheme="minorHAnsi"/>
          <w:sz w:val="22"/>
          <w:szCs w:val="22"/>
        </w:rPr>
        <w:t xml:space="preserve"> (JPE határozat)</w:t>
      </w:r>
      <w:r w:rsidR="00C753DE" w:rsidRPr="00FF6FEA">
        <w:rPr>
          <w:rFonts w:asciiTheme="minorHAnsi" w:hAnsiTheme="minorHAnsi" w:cstheme="minorHAnsi"/>
          <w:sz w:val="22"/>
          <w:szCs w:val="22"/>
        </w:rPr>
        <w:t xml:space="preserve"> foglalt</w:t>
      </w:r>
      <w:r w:rsidRPr="00FF6FEA">
        <w:rPr>
          <w:rFonts w:asciiTheme="minorHAnsi" w:hAnsiTheme="minorHAnsi" w:cstheme="minorHAnsi"/>
          <w:sz w:val="22"/>
          <w:szCs w:val="22"/>
        </w:rPr>
        <w:t xml:space="preserve"> „költségalapúság és díjak ellenőrizhetősége”</w:t>
      </w:r>
      <w:r w:rsidR="00C753DE" w:rsidRPr="00FF6FEA">
        <w:rPr>
          <w:rFonts w:asciiTheme="minorHAnsi" w:hAnsiTheme="minorHAnsi" w:cstheme="minorHAnsi"/>
          <w:sz w:val="22"/>
          <w:szCs w:val="22"/>
        </w:rPr>
        <w:t xml:space="preserve"> közzété</w:t>
      </w:r>
      <w:r w:rsidR="00945379" w:rsidRPr="00FF6FEA">
        <w:rPr>
          <w:rFonts w:asciiTheme="minorHAnsi" w:hAnsiTheme="minorHAnsi" w:cstheme="minorHAnsi"/>
          <w:sz w:val="22"/>
          <w:szCs w:val="22"/>
        </w:rPr>
        <w:t>teli kötelezettség teljesítése</w:t>
      </w:r>
      <w:r w:rsidRPr="00FF6FEA">
        <w:rPr>
          <w:rFonts w:asciiTheme="minorHAnsi" w:hAnsiTheme="minorHAnsi" w:cstheme="minorHAnsi"/>
          <w:sz w:val="22"/>
          <w:szCs w:val="22"/>
        </w:rPr>
        <w:t xml:space="preserve"> kapcsán</w:t>
      </w:r>
      <w:r w:rsidR="00945379" w:rsidRPr="00FF6FEA">
        <w:rPr>
          <w:rFonts w:asciiTheme="minorHAnsi" w:hAnsiTheme="minorHAnsi" w:cstheme="minorHAnsi"/>
          <w:sz w:val="22"/>
          <w:szCs w:val="22"/>
        </w:rPr>
        <w:t>:</w:t>
      </w:r>
    </w:p>
    <w:p w14:paraId="090467AF" w14:textId="0139C5E1" w:rsidR="00F311CB" w:rsidRPr="00FF6FEA" w:rsidRDefault="002112FE" w:rsidP="005B4184">
      <w:pPr>
        <w:pStyle w:val="Default"/>
        <w:numPr>
          <w:ilvl w:val="0"/>
          <w:numId w:val="14"/>
        </w:numPr>
        <w:spacing w:line="288" w:lineRule="auto"/>
        <w:ind w:left="567"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 </w:t>
      </w:r>
      <w:r w:rsidR="00F311CB" w:rsidRPr="00FF6FEA">
        <w:rPr>
          <w:rFonts w:asciiTheme="minorHAnsi" w:hAnsiTheme="minorHAnsi" w:cstheme="minorHAnsi"/>
          <w:sz w:val="22"/>
          <w:szCs w:val="22"/>
        </w:rPr>
        <w:t>beszédcélú hívásvégződtetés forgalmi szolgáltatás i</w:t>
      </w:r>
      <w:r w:rsidR="00CF5140" w:rsidRPr="00FF6FEA">
        <w:rPr>
          <w:rFonts w:asciiTheme="minorHAnsi" w:hAnsiTheme="minorHAnsi" w:cstheme="minorHAnsi"/>
          <w:sz w:val="22"/>
          <w:szCs w:val="22"/>
        </w:rPr>
        <w:t>génybevételének feltételei</w:t>
      </w:r>
      <w:r w:rsidRPr="00FF6FEA">
        <w:rPr>
          <w:rFonts w:asciiTheme="minorHAnsi" w:hAnsiTheme="minorHAnsi" w:cstheme="minorHAnsi"/>
          <w:sz w:val="22"/>
          <w:szCs w:val="22"/>
        </w:rPr>
        <w:t>t</w:t>
      </w:r>
    </w:p>
    <w:p w14:paraId="090A4B17" w14:textId="2F1EF63B" w:rsidR="00F311CB" w:rsidRPr="00FF6FEA" w:rsidRDefault="002112FE" w:rsidP="005B4184">
      <w:pPr>
        <w:pStyle w:val="Default"/>
        <w:numPr>
          <w:ilvl w:val="0"/>
          <w:numId w:val="14"/>
        </w:numPr>
        <w:spacing w:line="288" w:lineRule="auto"/>
        <w:ind w:left="567"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 </w:t>
      </w:r>
      <w:r w:rsidR="00CF5140" w:rsidRPr="00FF6FEA">
        <w:rPr>
          <w:rFonts w:asciiTheme="minorHAnsi" w:hAnsiTheme="minorHAnsi" w:cstheme="minorHAnsi"/>
          <w:sz w:val="22"/>
          <w:szCs w:val="22"/>
        </w:rPr>
        <w:t>beszédcélú hívásvégződtetés forgalmi szolgáltatás igénybevételének díjazás</w:t>
      </w:r>
      <w:r w:rsidRPr="00FF6FEA">
        <w:rPr>
          <w:rFonts w:asciiTheme="minorHAnsi" w:hAnsiTheme="minorHAnsi" w:cstheme="minorHAnsi"/>
          <w:sz w:val="22"/>
          <w:szCs w:val="22"/>
        </w:rPr>
        <w:t>át</w:t>
      </w:r>
    </w:p>
    <w:p w14:paraId="6AEF72C4" w14:textId="51297273" w:rsidR="00945379" w:rsidRPr="00FF6FEA" w:rsidRDefault="00945379" w:rsidP="008428D7">
      <w:pPr>
        <w:pStyle w:val="Default"/>
        <w:spacing w:line="288" w:lineRule="auto"/>
        <w:jc w:val="both"/>
        <w:rPr>
          <w:rFonts w:asciiTheme="minorHAnsi" w:hAnsiTheme="minorHAnsi" w:cstheme="minorHAnsi"/>
          <w:sz w:val="22"/>
          <w:szCs w:val="22"/>
        </w:rPr>
      </w:pPr>
    </w:p>
    <w:p w14:paraId="3E1873EE" w14:textId="77777777" w:rsidR="00E93CD2" w:rsidRPr="00FF6FEA" w:rsidRDefault="00E93CD2" w:rsidP="008428D7">
      <w:pPr>
        <w:pStyle w:val="Default"/>
        <w:spacing w:line="288" w:lineRule="auto"/>
        <w:jc w:val="both"/>
        <w:rPr>
          <w:rFonts w:asciiTheme="minorHAnsi" w:hAnsiTheme="minorHAnsi" w:cstheme="minorHAnsi"/>
          <w:sz w:val="22"/>
          <w:szCs w:val="22"/>
        </w:rPr>
      </w:pPr>
    </w:p>
    <w:p w14:paraId="2101A458" w14:textId="5BA28A09" w:rsidR="00CE3C22" w:rsidRPr="00FF6FEA" w:rsidRDefault="002112FE" w:rsidP="00CE3C22">
      <w:pPr>
        <w:pStyle w:val="Default"/>
        <w:numPr>
          <w:ilvl w:val="0"/>
          <w:numId w:val="18"/>
        </w:numPr>
        <w:spacing w:line="288" w:lineRule="auto"/>
        <w:jc w:val="both"/>
        <w:rPr>
          <w:rFonts w:asciiTheme="minorHAnsi" w:hAnsiTheme="minorHAnsi" w:cstheme="minorHAnsi"/>
          <w:b/>
          <w:bCs/>
          <w:sz w:val="22"/>
          <w:szCs w:val="22"/>
        </w:rPr>
      </w:pPr>
      <w:r w:rsidRPr="00FF6FEA">
        <w:rPr>
          <w:rFonts w:asciiTheme="minorHAnsi" w:hAnsiTheme="minorHAnsi" w:cstheme="minorHAnsi"/>
          <w:b/>
          <w:bCs/>
          <w:sz w:val="22"/>
          <w:szCs w:val="22"/>
        </w:rPr>
        <w:t>Összekapcsolódás</w:t>
      </w:r>
    </w:p>
    <w:p w14:paraId="7F12B8FE" w14:textId="47FE85CE" w:rsidR="00C753DE" w:rsidRPr="00FF6FEA" w:rsidRDefault="00C753DE" w:rsidP="00CE3C22">
      <w:pPr>
        <w:pStyle w:val="Default"/>
        <w:numPr>
          <w:ilvl w:val="0"/>
          <w:numId w:val="20"/>
        </w:numPr>
        <w:spacing w:line="288" w:lineRule="auto"/>
        <w:jc w:val="both"/>
        <w:rPr>
          <w:rFonts w:asciiTheme="minorHAnsi" w:hAnsiTheme="minorHAnsi" w:cstheme="minorHAnsi"/>
          <w:b/>
          <w:bCs/>
          <w:sz w:val="22"/>
          <w:szCs w:val="22"/>
        </w:rPr>
      </w:pPr>
      <w:r w:rsidRPr="00FF6FEA">
        <w:rPr>
          <w:rFonts w:asciiTheme="minorHAnsi" w:hAnsiTheme="minorHAnsi" w:cstheme="minorHAnsi"/>
          <w:b/>
          <w:bCs/>
          <w:i/>
          <w:iCs/>
          <w:sz w:val="22"/>
          <w:szCs w:val="22"/>
        </w:rPr>
        <w:t>Az össz</w:t>
      </w:r>
      <w:r w:rsidR="00AF536B" w:rsidRPr="00FF6FEA">
        <w:rPr>
          <w:rFonts w:asciiTheme="minorHAnsi" w:hAnsiTheme="minorHAnsi" w:cstheme="minorHAnsi"/>
          <w:b/>
          <w:bCs/>
          <w:i/>
          <w:iCs/>
          <w:sz w:val="22"/>
          <w:szCs w:val="22"/>
        </w:rPr>
        <w:t>ekapcsolás</w:t>
      </w:r>
      <w:r w:rsidR="008804FF" w:rsidRPr="00FF6FEA">
        <w:rPr>
          <w:rFonts w:asciiTheme="minorHAnsi" w:hAnsiTheme="minorHAnsi" w:cstheme="minorHAnsi"/>
          <w:b/>
          <w:bCs/>
          <w:i/>
          <w:iCs/>
          <w:sz w:val="22"/>
          <w:szCs w:val="22"/>
        </w:rPr>
        <w:t>sal kapcsolatos főbb határidők</w:t>
      </w:r>
    </w:p>
    <w:p w14:paraId="0D56AE1A" w14:textId="72360C40" w:rsidR="00BD635B" w:rsidRPr="00FF6FEA" w:rsidRDefault="008804FF" w:rsidP="009E0386">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 xml:space="preserve">A Telenor Magyarország </w:t>
      </w:r>
      <w:r w:rsidR="00BD635B" w:rsidRPr="00FF6FEA">
        <w:rPr>
          <w:rFonts w:cstheme="minorHAnsi"/>
        </w:rPr>
        <w:t>2</w:t>
      </w:r>
      <w:r w:rsidR="00BD635B" w:rsidRPr="00FF6FEA">
        <w:rPr>
          <w:rFonts w:cstheme="minorHAnsi"/>
          <w:color w:val="000000"/>
        </w:rPr>
        <w:t>0</w:t>
      </w:r>
      <w:r w:rsidR="00A34955" w:rsidRPr="00FF6FEA">
        <w:rPr>
          <w:rFonts w:cstheme="minorHAnsi"/>
          <w:color w:val="000000"/>
        </w:rPr>
        <w:t>20</w:t>
      </w:r>
      <w:r w:rsidR="00BD635B" w:rsidRPr="00FF6FEA">
        <w:rPr>
          <w:rFonts w:cstheme="minorHAnsi"/>
          <w:color w:val="000000"/>
        </w:rPr>
        <w:t xml:space="preserve">. </w:t>
      </w:r>
      <w:r w:rsidR="00A34955" w:rsidRPr="00FF6FEA">
        <w:rPr>
          <w:rFonts w:cstheme="minorHAnsi"/>
          <w:color w:val="000000"/>
        </w:rPr>
        <w:t>január 1</w:t>
      </w:r>
      <w:r w:rsidR="00945379" w:rsidRPr="00FF6FEA">
        <w:rPr>
          <w:rFonts w:cstheme="minorHAnsi"/>
          <w:color w:val="000000"/>
        </w:rPr>
        <w:t>-</w:t>
      </w:r>
      <w:r w:rsidR="00BD635B" w:rsidRPr="00FF6FEA">
        <w:rPr>
          <w:rFonts w:cstheme="minorHAnsi"/>
          <w:color w:val="000000"/>
        </w:rPr>
        <w:t xml:space="preserve">től </w:t>
      </w:r>
      <w:r w:rsidR="002C7B81" w:rsidRPr="00FF6FEA">
        <w:rPr>
          <w:rFonts w:cstheme="minorHAnsi"/>
        </w:rPr>
        <w:t>–</w:t>
      </w:r>
      <w:r w:rsidR="002C7B81" w:rsidRPr="00FF6FEA">
        <w:rPr>
          <w:rFonts w:cstheme="minorHAnsi"/>
          <w:color w:val="000000"/>
        </w:rPr>
        <w:t xml:space="preserve"> a sikeres tesztperiódus lezárását követően </w:t>
      </w:r>
      <w:r w:rsidR="002C7B81" w:rsidRPr="00FF6FEA">
        <w:rPr>
          <w:rFonts w:cstheme="minorHAnsi"/>
        </w:rPr>
        <w:t>–</w:t>
      </w:r>
      <w:r w:rsidRPr="00FF6FEA">
        <w:rPr>
          <w:rFonts w:cstheme="minorHAnsi"/>
        </w:rPr>
        <w:t xml:space="preserve"> </w:t>
      </w:r>
      <w:r w:rsidR="002C7B81" w:rsidRPr="00FF6FEA">
        <w:rPr>
          <w:rFonts w:cstheme="minorHAnsi"/>
          <w:color w:val="000000"/>
        </w:rPr>
        <w:t xml:space="preserve">elkezdi az átterheléseket </w:t>
      </w:r>
      <w:r w:rsidR="002112FE" w:rsidRPr="00FF6FEA">
        <w:rPr>
          <w:rFonts w:cstheme="minorHAnsi"/>
          <w:color w:val="000000"/>
        </w:rPr>
        <w:t>a</w:t>
      </w:r>
      <w:r w:rsidR="002C7B81" w:rsidRPr="00FF6FEA">
        <w:rPr>
          <w:rFonts w:cstheme="minorHAnsi"/>
          <w:color w:val="000000"/>
        </w:rPr>
        <w:t>z</w:t>
      </w:r>
      <w:r w:rsidR="002112FE" w:rsidRPr="00FF6FEA">
        <w:rPr>
          <w:rFonts w:cstheme="minorHAnsi"/>
          <w:color w:val="000000"/>
        </w:rPr>
        <w:t xml:space="preserve"> IP technológia alapú összekapcsolásr</w:t>
      </w:r>
      <w:r w:rsidR="002C7B81" w:rsidRPr="00FF6FEA">
        <w:rPr>
          <w:rFonts w:cstheme="minorHAnsi"/>
          <w:color w:val="000000"/>
        </w:rPr>
        <w:t>a</w:t>
      </w:r>
      <w:r w:rsidR="002112FE" w:rsidRPr="00FF6FEA">
        <w:rPr>
          <w:rFonts w:cstheme="minorHAnsi"/>
          <w:color w:val="000000"/>
        </w:rPr>
        <w:t xml:space="preserve">, amit </w:t>
      </w:r>
      <w:r w:rsidR="00BD635B" w:rsidRPr="00FF6FEA">
        <w:rPr>
          <w:rFonts w:cstheme="minorHAnsi"/>
          <w:color w:val="000000"/>
        </w:rPr>
        <w:t>folyamatos</w:t>
      </w:r>
      <w:r w:rsidR="002112FE" w:rsidRPr="00FF6FEA">
        <w:rPr>
          <w:rFonts w:cstheme="minorHAnsi"/>
          <w:color w:val="000000"/>
        </w:rPr>
        <w:t>an</w:t>
      </w:r>
      <w:r w:rsidR="00BD635B" w:rsidRPr="00FF6FEA">
        <w:rPr>
          <w:rFonts w:cstheme="minorHAnsi"/>
          <w:color w:val="000000"/>
        </w:rPr>
        <w:t xml:space="preserve"> kiterjeszt</w:t>
      </w:r>
      <w:r w:rsidR="002C7B81" w:rsidRPr="00FF6FEA">
        <w:rPr>
          <w:rFonts w:cstheme="minorHAnsi"/>
          <w:color w:val="000000"/>
        </w:rPr>
        <w:t xml:space="preserve"> </w:t>
      </w:r>
      <w:r w:rsidR="00BD635B" w:rsidRPr="00FF6FEA">
        <w:rPr>
          <w:rFonts w:cstheme="minorHAnsi"/>
          <w:color w:val="000000"/>
        </w:rPr>
        <w:t>a meglévő partnerek irányába</w:t>
      </w:r>
      <w:r w:rsidR="00D44BD5" w:rsidRPr="00FF6FEA">
        <w:rPr>
          <w:rFonts w:cstheme="minorHAnsi"/>
          <w:color w:val="000000"/>
        </w:rPr>
        <w:t>.</w:t>
      </w:r>
      <w:r w:rsidRPr="00FF6FEA">
        <w:rPr>
          <w:rFonts w:cstheme="minorHAnsi"/>
          <w:color w:val="000000"/>
        </w:rPr>
        <w:t xml:space="preserve"> </w:t>
      </w:r>
      <w:r w:rsidR="00D44BD5" w:rsidRPr="00FF6FEA">
        <w:rPr>
          <w:rFonts w:cstheme="minorHAnsi"/>
          <w:color w:val="000000"/>
        </w:rPr>
        <w:t>Az IP összekapcsolásra benyújtott igényeket a Telenor Magyarország az igények beérkezésének sorrendjében teljesíti, az egyenlő elbánás elveit figyelembe véve</w:t>
      </w:r>
      <w:r w:rsidR="00BD635B" w:rsidRPr="00FF6FEA">
        <w:rPr>
          <w:rFonts w:cstheme="minorHAnsi"/>
          <w:color w:val="000000"/>
        </w:rPr>
        <w:t>.</w:t>
      </w:r>
    </w:p>
    <w:p w14:paraId="4A707BBD" w14:textId="0B7F0A93" w:rsidR="002112FE" w:rsidRPr="00FF6FEA" w:rsidRDefault="008804FF" w:rsidP="00CC2B27">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 xml:space="preserve">A Telenor Magyarország </w:t>
      </w:r>
      <w:r w:rsidR="002112FE" w:rsidRPr="00FF6FEA">
        <w:rPr>
          <w:rFonts w:cstheme="minorHAnsi"/>
          <w:color w:val="000000"/>
        </w:rPr>
        <w:t>2021. december 31-</w:t>
      </w:r>
      <w:r w:rsidR="002C7B81" w:rsidRPr="00FF6FEA">
        <w:rPr>
          <w:rFonts w:cstheme="minorHAnsi"/>
          <w:color w:val="000000"/>
        </w:rPr>
        <w:t>é</w:t>
      </w:r>
      <w:r w:rsidRPr="00FF6FEA">
        <w:rPr>
          <w:rFonts w:cstheme="minorHAnsi"/>
          <w:color w:val="000000"/>
        </w:rPr>
        <w:t xml:space="preserve">ig </w:t>
      </w:r>
      <w:r w:rsidR="002112FE" w:rsidRPr="00FF6FEA">
        <w:rPr>
          <w:rFonts w:cstheme="minorHAnsi"/>
          <w:color w:val="000000"/>
        </w:rPr>
        <w:t xml:space="preserve">megszüntetni a TDM alapú Interconnect összeköttetéseket. </w:t>
      </w:r>
      <w:r w:rsidRPr="00FF6FEA">
        <w:rPr>
          <w:rFonts w:cstheme="minorHAnsi"/>
          <w:color w:val="000000"/>
        </w:rPr>
        <w:t>2021. december 31-éig</w:t>
      </w:r>
      <w:r w:rsidR="002112FE" w:rsidRPr="00FF6FEA">
        <w:rPr>
          <w:rFonts w:cstheme="minorHAnsi"/>
          <w:color w:val="000000"/>
        </w:rPr>
        <w:t xml:space="preserve"> a TDM-es forgalom vagy átter</w:t>
      </w:r>
      <w:r w:rsidR="00FA471E" w:rsidRPr="00FF6FEA">
        <w:rPr>
          <w:rFonts w:cstheme="minorHAnsi"/>
          <w:color w:val="000000"/>
        </w:rPr>
        <w:t>helésre</w:t>
      </w:r>
      <w:r w:rsidR="002112FE" w:rsidRPr="00FF6FEA">
        <w:rPr>
          <w:rFonts w:cstheme="minorHAnsi"/>
          <w:color w:val="000000"/>
        </w:rPr>
        <w:t xml:space="preserve"> kell, hogy kerüljön IP-s összeköttetésre vagy a forgalom kerülő </w:t>
      </w:r>
      <w:r w:rsidR="002C7B81" w:rsidRPr="00FF6FEA">
        <w:rPr>
          <w:rFonts w:cstheme="minorHAnsi"/>
        </w:rPr>
        <w:t xml:space="preserve">– IP – </w:t>
      </w:r>
      <w:r w:rsidR="002112FE" w:rsidRPr="00FF6FEA">
        <w:rPr>
          <w:rFonts w:cstheme="minorHAnsi"/>
          <w:color w:val="000000"/>
        </w:rPr>
        <w:t>útvonalon (tran</w:t>
      </w:r>
      <w:r w:rsidR="00FA471E" w:rsidRPr="00FF6FEA">
        <w:rPr>
          <w:rFonts w:cstheme="minorHAnsi"/>
          <w:color w:val="000000"/>
        </w:rPr>
        <w:t>z</w:t>
      </w:r>
      <w:r w:rsidR="002112FE" w:rsidRPr="00FF6FEA">
        <w:rPr>
          <w:rFonts w:cstheme="minorHAnsi"/>
          <w:color w:val="000000"/>
        </w:rPr>
        <w:t>it) kerülhet csak továbbításra.</w:t>
      </w:r>
    </w:p>
    <w:p w14:paraId="2E2F9DB9" w14:textId="4125C0F0" w:rsidR="009A6842" w:rsidRPr="00FF6FEA" w:rsidRDefault="00C33E97"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 xml:space="preserve">A Telenor Magyarország </w:t>
      </w:r>
      <w:r w:rsidR="000072D8" w:rsidRPr="00FF6FEA">
        <w:rPr>
          <w:rFonts w:cstheme="minorHAnsi"/>
          <w:color w:val="000000"/>
        </w:rPr>
        <w:t>2020</w:t>
      </w:r>
      <w:r w:rsidR="009A6842" w:rsidRPr="00FF6FEA">
        <w:rPr>
          <w:rFonts w:cstheme="minorHAnsi"/>
          <w:color w:val="000000"/>
        </w:rPr>
        <w:t xml:space="preserve">. </w:t>
      </w:r>
      <w:r w:rsidRPr="00FF6FEA">
        <w:rPr>
          <w:rFonts w:cstheme="minorHAnsi"/>
          <w:color w:val="000000"/>
        </w:rPr>
        <w:t>június 30-</w:t>
      </w:r>
      <w:r w:rsidR="008804FF" w:rsidRPr="00FF6FEA">
        <w:rPr>
          <w:rFonts w:cstheme="minorHAnsi"/>
          <w:color w:val="000000"/>
        </w:rPr>
        <w:t>á</w:t>
      </w:r>
      <w:r w:rsidRPr="00FF6FEA">
        <w:rPr>
          <w:rFonts w:cstheme="minorHAnsi"/>
          <w:color w:val="000000"/>
        </w:rPr>
        <w:t>ig</w:t>
      </w:r>
      <w:r w:rsidR="009A6842" w:rsidRPr="00FF6FEA">
        <w:rPr>
          <w:rFonts w:cstheme="minorHAnsi"/>
          <w:color w:val="000000"/>
        </w:rPr>
        <w:t xml:space="preserve"> támogatja a meglévő, TDM alapú összeköttetésék bővítését</w:t>
      </w:r>
      <w:r w:rsidR="003B05F8" w:rsidRPr="00FF6FEA">
        <w:rPr>
          <w:rFonts w:cstheme="minorHAnsi"/>
          <w:color w:val="000000"/>
        </w:rPr>
        <w:t xml:space="preserve"> és esetleges átkonfigurálását</w:t>
      </w:r>
      <w:r w:rsidR="009A6842" w:rsidRPr="00FF6FEA">
        <w:rPr>
          <w:rFonts w:cstheme="minorHAnsi"/>
          <w:color w:val="000000"/>
        </w:rPr>
        <w:t xml:space="preserve">, abban az esetben, ha </w:t>
      </w:r>
      <w:r w:rsidR="002112FE" w:rsidRPr="00FF6FEA">
        <w:rPr>
          <w:rFonts w:cstheme="minorHAnsi"/>
          <w:color w:val="000000"/>
        </w:rPr>
        <w:t xml:space="preserve">a már korábban </w:t>
      </w:r>
      <w:r w:rsidR="009A6842" w:rsidRPr="00FF6FEA">
        <w:rPr>
          <w:rFonts w:cstheme="minorHAnsi"/>
          <w:color w:val="000000"/>
        </w:rPr>
        <w:t>kiépített kapacitás nem elegendő a növekvő forgalom lekezelésére.</w:t>
      </w:r>
    </w:p>
    <w:p w14:paraId="7FEBAE72" w14:textId="67582251" w:rsidR="008804FF" w:rsidRPr="00FF6FEA" w:rsidRDefault="008804FF" w:rsidP="008804FF">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A Telenor Magyarország 2020. június 30-áig vállalja új TDM-es összeköttetések kiépítést abban az esetben, ha az igény 2019. december 31-éig hivatalosan benyújtásra került a Telenor Magyarországnak.</w:t>
      </w:r>
    </w:p>
    <w:p w14:paraId="2FC67319" w14:textId="0426CBA4" w:rsidR="008804FF" w:rsidRPr="00FF6FEA" w:rsidRDefault="008804FF" w:rsidP="003F5525">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 xml:space="preserve">A Telenor Magyarország irányába </w:t>
      </w:r>
      <w:r w:rsidR="006C494A" w:rsidRPr="00FF6FEA">
        <w:rPr>
          <w:rFonts w:cstheme="minorHAnsi"/>
          <w:color w:val="000000"/>
        </w:rPr>
        <w:t>2020. július 1-</w:t>
      </w:r>
      <w:r w:rsidRPr="00FF6FEA">
        <w:rPr>
          <w:rFonts w:cstheme="minorHAnsi"/>
          <w:color w:val="000000"/>
        </w:rPr>
        <w:t>é</w:t>
      </w:r>
      <w:r w:rsidR="006C494A" w:rsidRPr="00FF6FEA">
        <w:rPr>
          <w:rFonts w:cstheme="minorHAnsi"/>
          <w:color w:val="000000"/>
        </w:rPr>
        <w:t xml:space="preserve">től </w:t>
      </w:r>
      <w:r w:rsidR="00C753DE" w:rsidRPr="00FF6FEA">
        <w:rPr>
          <w:rFonts w:cstheme="minorHAnsi"/>
          <w:color w:val="000000"/>
        </w:rPr>
        <w:t>már csak az IP technológia alapú összekapcsolás</w:t>
      </w:r>
      <w:r w:rsidR="006C494A" w:rsidRPr="00FF6FEA">
        <w:rPr>
          <w:rFonts w:cstheme="minorHAnsi"/>
          <w:color w:val="000000"/>
        </w:rPr>
        <w:t xml:space="preserve"> </w:t>
      </w:r>
      <w:r w:rsidR="004A0D46" w:rsidRPr="00FF6FEA">
        <w:rPr>
          <w:rFonts w:cstheme="minorHAnsi"/>
          <w:color w:val="000000"/>
        </w:rPr>
        <w:t>létesít</w:t>
      </w:r>
      <w:r w:rsidR="00B27874" w:rsidRPr="00FF6FEA">
        <w:rPr>
          <w:rFonts w:cstheme="minorHAnsi"/>
          <w:color w:val="000000"/>
        </w:rPr>
        <w:t xml:space="preserve">ésére </w:t>
      </w:r>
      <w:r w:rsidR="006C494A" w:rsidRPr="00FF6FEA">
        <w:rPr>
          <w:rFonts w:cstheme="minorHAnsi"/>
          <w:color w:val="000000"/>
        </w:rPr>
        <w:t>lesz lehetőség</w:t>
      </w:r>
      <w:r w:rsidR="00784457" w:rsidRPr="00FF6FEA">
        <w:rPr>
          <w:rFonts w:cstheme="minorHAnsi"/>
          <w:color w:val="000000"/>
        </w:rPr>
        <w:t>.</w:t>
      </w:r>
    </w:p>
    <w:p w14:paraId="7BB52F5F" w14:textId="77777777" w:rsidR="008804FF" w:rsidRPr="00FF6FEA" w:rsidRDefault="008804FF" w:rsidP="008804FF">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Az összekapcsolás általános feltételei</w:t>
      </w:r>
    </w:p>
    <w:p w14:paraId="0D67F8AF" w14:textId="77777777" w:rsidR="00784457" w:rsidRPr="00FF6FEA" w:rsidRDefault="00784457" w:rsidP="00784457">
      <w:pPr>
        <w:pStyle w:val="Default"/>
        <w:numPr>
          <w:ilvl w:val="0"/>
          <w:numId w:val="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A Telenor Magyarország hálózatában történő hívásvégződtetéshez szükséges összekapcsolási pont helye a Telenor Magyarország – alább felsorolt – egy vagy több hálózati végpontja.</w:t>
      </w:r>
    </w:p>
    <w:p w14:paraId="45505669" w14:textId="4FDD2A7D" w:rsidR="00367719" w:rsidRPr="00FF6FEA" w:rsidRDefault="00367719"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A Telenor Magyarország az átadás-átvételi tesztek sikeres lezárása és az összekapcsolási szerződés hatálybalépése után 30 napos határidővel vállalja a szolgáltatások beállítását</w:t>
      </w:r>
      <w:r w:rsidR="002112FE" w:rsidRPr="00FF6FEA">
        <w:rPr>
          <w:rFonts w:cstheme="minorHAnsi"/>
          <w:color w:val="000000"/>
        </w:rPr>
        <w:t>.</w:t>
      </w:r>
    </w:p>
    <w:p w14:paraId="5ACA5FE8" w14:textId="217EFED9" w:rsidR="00C753DE" w:rsidRPr="00FF6FEA" w:rsidRDefault="00367719"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A Telenor Magyarország részéről az igény miatt jelentkező adminisztrációs és egyéb hálózati egyeztetések, kapacitáskiépítés, tesztelések lebonyolítása stb. többletköltséggel jár. A megvalósítás egyik előfeltétele, hogy az ajánlattevő partner költségtérítési kötelezettséget vállal a fent említett, összekapcsolási előkészületeknél felmerő költségek tekintetében. Az érintett díjak a</w:t>
      </w:r>
      <w:r w:rsidR="00866CF1">
        <w:rPr>
          <w:rFonts w:cstheme="minorHAnsi"/>
          <w:color w:val="000000"/>
        </w:rPr>
        <w:t xml:space="preserve"> „</w:t>
      </w:r>
      <w:r w:rsidR="00866CF1">
        <w:rPr>
          <w:rFonts w:cstheme="minorHAnsi"/>
          <w:color w:val="000000"/>
        </w:rPr>
        <w:fldChar w:fldCharType="begin"/>
      </w:r>
      <w:r w:rsidR="00866CF1">
        <w:rPr>
          <w:rFonts w:cstheme="minorHAnsi"/>
          <w:color w:val="000000"/>
        </w:rPr>
        <w:instrText xml:space="preserve"> REF _Ref37323009 \h </w:instrText>
      </w:r>
      <w:r w:rsidR="00866CF1">
        <w:rPr>
          <w:rFonts w:cstheme="minorHAnsi"/>
          <w:color w:val="000000"/>
        </w:rPr>
      </w:r>
      <w:r w:rsidR="00866CF1">
        <w:rPr>
          <w:rFonts w:cstheme="minorHAnsi"/>
          <w:color w:val="000000"/>
        </w:rPr>
        <w:fldChar w:fldCharType="separate"/>
      </w:r>
      <w:r w:rsidR="00866CF1" w:rsidRPr="00866CF1">
        <w:rPr>
          <w:rFonts w:cstheme="minorHAnsi"/>
          <w:b/>
        </w:rPr>
        <w:t>Kiegészítő Szolgáltatások díja</w:t>
      </w:r>
      <w:r w:rsidR="00866CF1">
        <w:rPr>
          <w:rFonts w:cstheme="minorHAnsi"/>
          <w:color w:val="000000"/>
        </w:rPr>
        <w:fldChar w:fldCharType="end"/>
      </w:r>
      <w:r w:rsidR="00866CF1">
        <w:rPr>
          <w:rFonts w:cstheme="minorHAnsi"/>
          <w:color w:val="000000"/>
        </w:rPr>
        <w:t>”</w:t>
      </w:r>
      <w:r w:rsidR="002112FE" w:rsidRPr="00FF6FEA">
        <w:rPr>
          <w:rFonts w:cstheme="minorHAnsi"/>
          <w:color w:val="000000"/>
        </w:rPr>
        <w:t xml:space="preserve"> </w:t>
      </w:r>
      <w:r w:rsidR="002112FE" w:rsidRPr="00FF6FEA">
        <w:rPr>
          <w:rFonts w:cstheme="minorHAnsi"/>
          <w:color w:val="000000"/>
        </w:rPr>
        <w:fldChar w:fldCharType="begin"/>
      </w:r>
      <w:r w:rsidR="002112FE" w:rsidRPr="00FF6FEA">
        <w:rPr>
          <w:rFonts w:cstheme="minorHAnsi"/>
          <w:color w:val="000000"/>
        </w:rPr>
        <w:instrText xml:space="preserve"> REF _Ref26427447 \r \h </w:instrText>
      </w:r>
      <w:r w:rsidR="00300B53" w:rsidRPr="00FF6FEA">
        <w:rPr>
          <w:rFonts w:cstheme="minorHAnsi"/>
          <w:color w:val="000000"/>
        </w:rPr>
        <w:instrText xml:space="preserve"> \* MERGEFORMAT </w:instrText>
      </w:r>
      <w:r w:rsidR="002112FE" w:rsidRPr="00FF6FEA">
        <w:rPr>
          <w:rFonts w:cstheme="minorHAnsi"/>
          <w:color w:val="000000"/>
        </w:rPr>
      </w:r>
      <w:r w:rsidR="002112FE" w:rsidRPr="00FF6FEA">
        <w:rPr>
          <w:rFonts w:cstheme="minorHAnsi"/>
          <w:color w:val="000000"/>
        </w:rPr>
        <w:fldChar w:fldCharType="separate"/>
      </w:r>
      <w:r w:rsidR="002112FE" w:rsidRPr="00FF6FEA">
        <w:rPr>
          <w:rFonts w:cstheme="minorHAnsi"/>
          <w:color w:val="000000"/>
        </w:rPr>
        <w:t>"</w:t>
      </w:r>
      <w:r w:rsidR="002112FE" w:rsidRPr="00FF6FEA">
        <w:rPr>
          <w:rFonts w:cstheme="minorHAnsi"/>
          <w:color w:val="000000"/>
        </w:rPr>
        <w:fldChar w:fldCharType="end"/>
      </w:r>
      <w:r w:rsidR="002112FE" w:rsidRPr="00FF6FEA">
        <w:rPr>
          <w:rFonts w:cstheme="minorHAnsi"/>
          <w:color w:val="000000"/>
        </w:rPr>
        <w:t xml:space="preserve"> bekezdés</w:t>
      </w:r>
      <w:r w:rsidRPr="00FF6FEA">
        <w:rPr>
          <w:rFonts w:cstheme="minorHAnsi"/>
          <w:color w:val="000000"/>
        </w:rPr>
        <w:t xml:space="preserve"> alatt kerültek meghatározásra</w:t>
      </w:r>
      <w:r w:rsidR="002112FE" w:rsidRPr="00FF6FEA">
        <w:rPr>
          <w:rFonts w:cstheme="minorHAnsi"/>
          <w:color w:val="000000"/>
        </w:rPr>
        <w:t>.</w:t>
      </w:r>
    </w:p>
    <w:p w14:paraId="20C7DDB1" w14:textId="77777777" w:rsidR="00F96243" w:rsidRPr="00FF6FEA" w:rsidRDefault="00C753DE"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Felek törekednek a műszakilag és gazdaságilag indokolt és racionális együttműködésre a kölcsönös</w:t>
      </w:r>
      <w:r w:rsidR="00F96243" w:rsidRPr="00FF6FEA">
        <w:rPr>
          <w:rFonts w:cstheme="minorHAnsi"/>
          <w:color w:val="000000"/>
        </w:rPr>
        <w:t xml:space="preserve"> szolgáltatásnyújtás érdekében.</w:t>
      </w:r>
    </w:p>
    <w:p w14:paraId="70A19675" w14:textId="77777777" w:rsidR="002112FE" w:rsidRPr="00FF6FEA" w:rsidRDefault="002112FE"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 xml:space="preserve">A forgalom átadása minden esetben a hívó előfizető számával („A szám”) kell, hogy történjen az alkalmazott jelzésrendszernek és hatályos szabályozásnak megfelelően. </w:t>
      </w:r>
    </w:p>
    <w:p w14:paraId="2E909669" w14:textId="078C217D" w:rsidR="00F96243" w:rsidRDefault="00F96243" w:rsidP="00F96243">
      <w:pPr>
        <w:shd w:val="clear" w:color="auto" w:fill="FFFFFF"/>
        <w:spacing w:after="0" w:line="288" w:lineRule="auto"/>
        <w:jc w:val="both"/>
        <w:rPr>
          <w:rFonts w:cstheme="minorHAnsi"/>
          <w:color w:val="000000"/>
        </w:rPr>
      </w:pPr>
    </w:p>
    <w:p w14:paraId="25ED6299" w14:textId="77777777" w:rsidR="00FF6FEA" w:rsidRPr="00FF6FEA" w:rsidRDefault="00FF6FEA" w:rsidP="00F96243">
      <w:pPr>
        <w:shd w:val="clear" w:color="auto" w:fill="FFFFFF"/>
        <w:spacing w:after="0" w:line="288" w:lineRule="auto"/>
        <w:jc w:val="both"/>
        <w:rPr>
          <w:rFonts w:cstheme="minorHAnsi"/>
          <w:color w:val="000000"/>
        </w:rPr>
      </w:pPr>
    </w:p>
    <w:p w14:paraId="7BE6FC14" w14:textId="39B30E90" w:rsidR="00C753DE" w:rsidRPr="00FF6FEA" w:rsidRDefault="00C753DE"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lastRenderedPageBreak/>
        <w:t xml:space="preserve">Az ajánlattételi és szerződéskötési eljárás részletes szabályai </w:t>
      </w:r>
    </w:p>
    <w:p w14:paraId="67618579" w14:textId="77777777" w:rsidR="00C753DE" w:rsidRPr="00FF6FEA" w:rsidRDefault="00C753DE" w:rsidP="00F96243">
      <w:pPr>
        <w:pStyle w:val="Default"/>
        <w:spacing w:line="288" w:lineRule="auto"/>
        <w:ind w:left="284"/>
        <w:jc w:val="both"/>
        <w:rPr>
          <w:rFonts w:asciiTheme="minorHAnsi" w:hAnsiTheme="minorHAnsi" w:cstheme="minorHAnsi"/>
          <w:sz w:val="22"/>
          <w:szCs w:val="22"/>
        </w:rPr>
      </w:pPr>
      <w:r w:rsidRPr="00FF6FEA">
        <w:rPr>
          <w:rFonts w:asciiTheme="minorHAnsi" w:hAnsiTheme="minorHAnsi" w:cstheme="minorHAnsi"/>
          <w:sz w:val="22"/>
          <w:szCs w:val="22"/>
        </w:rPr>
        <w:t>A</w:t>
      </w:r>
      <w:r w:rsidR="00E20BD7" w:rsidRPr="00FF6FEA">
        <w:rPr>
          <w:rFonts w:asciiTheme="minorHAnsi" w:hAnsiTheme="minorHAnsi" w:cstheme="minorHAnsi"/>
          <w:sz w:val="22"/>
          <w:szCs w:val="22"/>
        </w:rPr>
        <w:t xml:space="preserve">z </w:t>
      </w:r>
      <w:r w:rsidRPr="00FF6FEA">
        <w:rPr>
          <w:rFonts w:asciiTheme="minorHAnsi" w:hAnsiTheme="minorHAnsi" w:cstheme="minorHAnsi"/>
          <w:sz w:val="22"/>
          <w:szCs w:val="22"/>
        </w:rPr>
        <w:t xml:space="preserve">ajánlattételi és szerződéskötési eljárás </w:t>
      </w:r>
      <w:r w:rsidR="00E20BD7" w:rsidRPr="00FF6FEA">
        <w:rPr>
          <w:rFonts w:asciiTheme="minorHAnsi" w:hAnsiTheme="minorHAnsi" w:cstheme="minorHAnsi"/>
          <w:sz w:val="22"/>
          <w:szCs w:val="22"/>
        </w:rPr>
        <w:t xml:space="preserve">során a Telenor Magyarország a JPE határozat I.D.5. pontjában foglaltakat alkalmazza, azzal, hogy az abban nem szabályozott kérdésekben a referenciaajánlatokról, hálózati szerződésekről, valamint az ezekkel kapcsolatos eljárások részletes szabályairól szóló </w:t>
      </w:r>
      <w:r w:rsidRPr="00FF6FEA">
        <w:rPr>
          <w:rFonts w:asciiTheme="minorHAnsi" w:hAnsiTheme="minorHAnsi" w:cstheme="minorHAnsi"/>
          <w:sz w:val="22"/>
          <w:szCs w:val="22"/>
        </w:rPr>
        <w:t>277/2003. (XII. 24.) Korm. re</w:t>
      </w:r>
      <w:r w:rsidR="0042452F" w:rsidRPr="00FF6FEA">
        <w:rPr>
          <w:rFonts w:asciiTheme="minorHAnsi" w:hAnsiTheme="minorHAnsi" w:cstheme="minorHAnsi"/>
          <w:sz w:val="22"/>
          <w:szCs w:val="22"/>
        </w:rPr>
        <w:t xml:space="preserve">ndelet </w:t>
      </w:r>
      <w:r w:rsidR="00E20BD7" w:rsidRPr="00FF6FEA">
        <w:rPr>
          <w:rFonts w:asciiTheme="minorHAnsi" w:hAnsiTheme="minorHAnsi" w:cstheme="minorHAnsi"/>
          <w:sz w:val="22"/>
          <w:szCs w:val="22"/>
        </w:rPr>
        <w:t>4. §-</w:t>
      </w:r>
      <w:proofErr w:type="spellStart"/>
      <w:r w:rsidR="00E20BD7" w:rsidRPr="00FF6FEA">
        <w:rPr>
          <w:rFonts w:asciiTheme="minorHAnsi" w:hAnsiTheme="minorHAnsi" w:cstheme="minorHAnsi"/>
          <w:sz w:val="22"/>
          <w:szCs w:val="22"/>
        </w:rPr>
        <w:t>ában</w:t>
      </w:r>
      <w:proofErr w:type="spellEnd"/>
      <w:r w:rsidR="00E20BD7" w:rsidRPr="00FF6FEA">
        <w:rPr>
          <w:rFonts w:asciiTheme="minorHAnsi" w:hAnsiTheme="minorHAnsi" w:cstheme="minorHAnsi"/>
          <w:sz w:val="22"/>
          <w:szCs w:val="22"/>
        </w:rPr>
        <w:t>. 5. § (1) bekezdésében, 6. § (3) bekezdésében, 8-11. §-</w:t>
      </w:r>
      <w:proofErr w:type="spellStart"/>
      <w:r w:rsidR="00E20BD7" w:rsidRPr="00FF6FEA">
        <w:rPr>
          <w:rFonts w:asciiTheme="minorHAnsi" w:hAnsiTheme="minorHAnsi" w:cstheme="minorHAnsi"/>
          <w:sz w:val="22"/>
          <w:szCs w:val="22"/>
        </w:rPr>
        <w:t>aiban</w:t>
      </w:r>
      <w:proofErr w:type="spellEnd"/>
      <w:r w:rsidR="00E20BD7" w:rsidRPr="00FF6FEA">
        <w:rPr>
          <w:rFonts w:asciiTheme="minorHAnsi" w:hAnsiTheme="minorHAnsi" w:cstheme="minorHAnsi"/>
          <w:sz w:val="22"/>
          <w:szCs w:val="22"/>
        </w:rPr>
        <w:t>, 12. § (2)-(3) bekezdéseiben és 29. §-</w:t>
      </w:r>
      <w:proofErr w:type="spellStart"/>
      <w:r w:rsidR="00E20BD7" w:rsidRPr="00FF6FEA">
        <w:rPr>
          <w:rFonts w:asciiTheme="minorHAnsi" w:hAnsiTheme="minorHAnsi" w:cstheme="minorHAnsi"/>
          <w:sz w:val="22"/>
          <w:szCs w:val="22"/>
        </w:rPr>
        <w:t>ában</w:t>
      </w:r>
      <w:proofErr w:type="spellEnd"/>
      <w:r w:rsidR="00E20BD7" w:rsidRPr="00FF6FEA">
        <w:rPr>
          <w:rFonts w:asciiTheme="minorHAnsi" w:hAnsiTheme="minorHAnsi" w:cstheme="minorHAnsi"/>
          <w:sz w:val="22"/>
          <w:szCs w:val="22"/>
        </w:rPr>
        <w:t xml:space="preserve"> foglalt szabá</w:t>
      </w:r>
      <w:r w:rsidR="006C6944" w:rsidRPr="00FF6FEA">
        <w:rPr>
          <w:rFonts w:asciiTheme="minorHAnsi" w:hAnsiTheme="minorHAnsi" w:cstheme="minorHAnsi"/>
          <w:sz w:val="22"/>
          <w:szCs w:val="22"/>
        </w:rPr>
        <w:t>lyok szerint jár el.</w:t>
      </w:r>
    </w:p>
    <w:p w14:paraId="75EC6EB5" w14:textId="77777777" w:rsidR="004F17C1" w:rsidRPr="00FF6FEA" w:rsidRDefault="004F17C1" w:rsidP="00344051">
      <w:pPr>
        <w:pStyle w:val="Default"/>
        <w:spacing w:line="288" w:lineRule="auto"/>
        <w:ind w:firstLine="284"/>
        <w:jc w:val="both"/>
        <w:rPr>
          <w:rFonts w:asciiTheme="minorHAnsi" w:hAnsiTheme="minorHAnsi" w:cstheme="minorHAnsi"/>
          <w:sz w:val="22"/>
          <w:szCs w:val="22"/>
        </w:rPr>
      </w:pPr>
      <w:r w:rsidRPr="00FF6FEA">
        <w:rPr>
          <w:rFonts w:asciiTheme="minorHAnsi" w:hAnsiTheme="minorHAnsi" w:cstheme="minorHAnsi"/>
          <w:sz w:val="22"/>
          <w:szCs w:val="22"/>
        </w:rPr>
        <w:t>Ajánlattételi feltételrendszer pontjai:</w:t>
      </w:r>
    </w:p>
    <w:p w14:paraId="0A600E9E" w14:textId="77777777" w:rsidR="004F17C1" w:rsidRPr="00FF6FEA" w:rsidRDefault="004F17C1"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összekapcsolási szerződési szándéknyilatkozat</w:t>
      </w:r>
    </w:p>
    <w:p w14:paraId="221D766D" w14:textId="77777777" w:rsidR="009C3812" w:rsidRPr="00FF6FEA" w:rsidRDefault="005D39CC"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az ajánlattevő partner </w:t>
      </w:r>
      <w:r w:rsidR="009C3812" w:rsidRPr="00FF6FEA">
        <w:rPr>
          <w:rFonts w:asciiTheme="minorHAnsi" w:hAnsiTheme="minorHAnsi" w:cstheme="minorHAnsi"/>
          <w:sz w:val="22"/>
          <w:szCs w:val="22"/>
        </w:rPr>
        <w:t xml:space="preserve">jogosultságának </w:t>
      </w:r>
      <w:r w:rsidRPr="00FF6FEA">
        <w:rPr>
          <w:rFonts w:asciiTheme="minorHAnsi" w:hAnsiTheme="minorHAnsi" w:cstheme="minorHAnsi"/>
          <w:sz w:val="22"/>
          <w:szCs w:val="22"/>
        </w:rPr>
        <w:t>igazolása az elektronikus hírközlés szolgáltat</w:t>
      </w:r>
      <w:r w:rsidR="009C3812" w:rsidRPr="00FF6FEA">
        <w:rPr>
          <w:rFonts w:asciiTheme="minorHAnsi" w:hAnsiTheme="minorHAnsi" w:cstheme="minorHAnsi"/>
          <w:sz w:val="22"/>
          <w:szCs w:val="22"/>
        </w:rPr>
        <w:t>ás nyújtására (NMHH bejegyzési nyilatkozat)</w:t>
      </w:r>
    </w:p>
    <w:p w14:paraId="6F9B2B8E" w14:textId="7C0E682E" w:rsidR="00AF16FC" w:rsidRPr="00FF6FEA" w:rsidRDefault="00BC1E89"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igényelt szolgáltatás és az igénybevétel tervezett időpontja</w:t>
      </w:r>
      <w:r w:rsidR="00A004A1" w:rsidRPr="00FF6FEA">
        <w:rPr>
          <w:rFonts w:asciiTheme="minorHAnsi" w:hAnsiTheme="minorHAnsi" w:cstheme="minorHAnsi"/>
          <w:sz w:val="22"/>
          <w:szCs w:val="22"/>
        </w:rPr>
        <w:t xml:space="preserve"> – figyelembe véve az átadás-átvételi tesztek lebonyolításának ütemezését, annak sikeres teljesítését</w:t>
      </w:r>
    </w:p>
    <w:p w14:paraId="5B33C767" w14:textId="77777777" w:rsidR="00F40DDE" w:rsidRPr="00FF6FEA" w:rsidRDefault="00F40DDE"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az ajánlattevő partner által nyújtott szolgáltatások jellemzői, díjazása és minőségi jellemzői</w:t>
      </w:r>
    </w:p>
    <w:p w14:paraId="6C75ACC2" w14:textId="77777777" w:rsidR="004F17C1" w:rsidRPr="00FF6FEA" w:rsidRDefault="00BC1E89"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igényelt összekapcsolási interfész </w:t>
      </w:r>
      <w:r w:rsidR="00F40DDE" w:rsidRPr="00FF6FEA">
        <w:rPr>
          <w:rFonts w:asciiTheme="minorHAnsi" w:hAnsiTheme="minorHAnsi" w:cstheme="minorHAnsi"/>
          <w:sz w:val="22"/>
          <w:szCs w:val="22"/>
        </w:rPr>
        <w:t>(</w:t>
      </w:r>
      <w:r w:rsidR="00A004A1" w:rsidRPr="00FF6FEA">
        <w:rPr>
          <w:rFonts w:asciiTheme="minorHAnsi" w:hAnsiTheme="minorHAnsi" w:cstheme="minorHAnsi"/>
          <w:sz w:val="22"/>
          <w:szCs w:val="22"/>
        </w:rPr>
        <w:t>a megjelölt</w:t>
      </w:r>
      <w:r w:rsidR="00F40DDE" w:rsidRPr="00FF6FEA">
        <w:rPr>
          <w:rFonts w:asciiTheme="minorHAnsi" w:hAnsiTheme="minorHAnsi" w:cstheme="minorHAnsi"/>
          <w:sz w:val="22"/>
          <w:szCs w:val="22"/>
        </w:rPr>
        <w:t xml:space="preserve"> időpontig </w:t>
      </w:r>
      <w:proofErr w:type="spellStart"/>
      <w:r w:rsidR="00F40DDE" w:rsidRPr="00FF6FEA">
        <w:rPr>
          <w:rFonts w:asciiTheme="minorHAnsi" w:hAnsiTheme="minorHAnsi" w:cstheme="minorHAnsi"/>
          <w:sz w:val="22"/>
          <w:szCs w:val="22"/>
        </w:rPr>
        <w:t>igénybevehető</w:t>
      </w:r>
      <w:proofErr w:type="spellEnd"/>
      <w:r w:rsidR="00F40DDE" w:rsidRPr="00FF6FEA">
        <w:rPr>
          <w:rFonts w:asciiTheme="minorHAnsi" w:hAnsiTheme="minorHAnsi" w:cstheme="minorHAnsi"/>
          <w:sz w:val="22"/>
          <w:szCs w:val="22"/>
        </w:rPr>
        <w:t xml:space="preserve"> TDM interfész</w:t>
      </w:r>
      <w:r w:rsidR="001A04C0" w:rsidRPr="00FF6FEA">
        <w:rPr>
          <w:rFonts w:asciiTheme="minorHAnsi" w:hAnsiTheme="minorHAnsi" w:cstheme="minorHAnsi"/>
          <w:sz w:val="22"/>
          <w:szCs w:val="22"/>
        </w:rPr>
        <w:t>)</w:t>
      </w:r>
    </w:p>
    <w:p w14:paraId="79716F5B" w14:textId="77777777" w:rsidR="001A04C0" w:rsidRPr="00FF6FEA" w:rsidRDefault="00F40DDE"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tervezett forgal</w:t>
      </w:r>
      <w:r w:rsidR="00A004A1" w:rsidRPr="00FF6FEA">
        <w:rPr>
          <w:rFonts w:asciiTheme="minorHAnsi" w:hAnsiTheme="minorHAnsi" w:cstheme="minorHAnsi"/>
          <w:sz w:val="22"/>
          <w:szCs w:val="22"/>
        </w:rPr>
        <w:t>m</w:t>
      </w:r>
      <w:r w:rsidRPr="00FF6FEA">
        <w:rPr>
          <w:rFonts w:asciiTheme="minorHAnsi" w:hAnsiTheme="minorHAnsi" w:cstheme="minorHAnsi"/>
          <w:sz w:val="22"/>
          <w:szCs w:val="22"/>
        </w:rPr>
        <w:t>i</w:t>
      </w:r>
      <w:r w:rsidR="00A004A1" w:rsidRPr="00FF6FEA">
        <w:rPr>
          <w:rFonts w:asciiTheme="minorHAnsi" w:hAnsiTheme="minorHAnsi" w:cstheme="minorHAnsi"/>
          <w:sz w:val="22"/>
          <w:szCs w:val="22"/>
        </w:rPr>
        <w:t xml:space="preserve"> előrejelzés egy évre, havi és szolgáltatásonként bontásban</w:t>
      </w:r>
    </w:p>
    <w:p w14:paraId="0FC9F105" w14:textId="77777777" w:rsidR="00A004A1" w:rsidRPr="00FF6FEA" w:rsidRDefault="00F40DDE"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igényelt hálózati hozzáférési / összekapcsolási végpontok száma, megjelölése</w:t>
      </w:r>
    </w:p>
    <w:p w14:paraId="51300324" w14:textId="77777777" w:rsidR="00F40DDE" w:rsidRPr="00FF6FEA" w:rsidRDefault="009748F7"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az </w:t>
      </w:r>
      <w:r w:rsidR="00F40DDE" w:rsidRPr="00FF6FEA">
        <w:rPr>
          <w:rFonts w:asciiTheme="minorHAnsi" w:hAnsiTheme="minorHAnsi" w:cstheme="minorHAnsi"/>
          <w:sz w:val="22"/>
          <w:szCs w:val="22"/>
        </w:rPr>
        <w:t>üzemeltetni kíván</w:t>
      </w:r>
      <w:r w:rsidR="0008652F" w:rsidRPr="00FF6FEA">
        <w:rPr>
          <w:rFonts w:asciiTheme="minorHAnsi" w:hAnsiTheme="minorHAnsi" w:cstheme="minorHAnsi"/>
          <w:sz w:val="22"/>
          <w:szCs w:val="22"/>
        </w:rPr>
        <w:t>t</w:t>
      </w:r>
      <w:r w:rsidR="00F40DDE" w:rsidRPr="00FF6FEA">
        <w:rPr>
          <w:rFonts w:asciiTheme="minorHAnsi" w:hAnsiTheme="minorHAnsi" w:cstheme="minorHAnsi"/>
          <w:sz w:val="22"/>
          <w:szCs w:val="22"/>
        </w:rPr>
        <w:t xml:space="preserve"> hírközlési eszközök pontos megnevezése, jellemzőinek felsorolása</w:t>
      </w:r>
    </w:p>
    <w:p w14:paraId="39F54A01" w14:textId="77777777" w:rsidR="009748F7" w:rsidRPr="00FF6FEA" w:rsidRDefault="009748F7"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tárgyalásoknál, műszaki egyeztetésekben résztvevő munkatársak megnevezése, elérhetősége</w:t>
      </w:r>
    </w:p>
    <w:p w14:paraId="1224DE9C" w14:textId="77777777" w:rsidR="00F40DDE" w:rsidRPr="00FF6FEA" w:rsidRDefault="00F40DDE"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közös eszközhasználattal, </w:t>
      </w:r>
      <w:r w:rsidR="005D39CC" w:rsidRPr="00FF6FEA">
        <w:rPr>
          <w:rFonts w:asciiTheme="minorHAnsi" w:hAnsiTheme="minorHAnsi" w:cstheme="minorHAnsi"/>
          <w:sz w:val="22"/>
          <w:szCs w:val="22"/>
        </w:rPr>
        <w:t>helymegosztással kapcsolatos igények megjelölése, felajánlása</w:t>
      </w:r>
    </w:p>
    <w:p w14:paraId="2B7CBCC6" w14:textId="007DED4E" w:rsidR="009C3812" w:rsidRPr="00FF6FEA" w:rsidRDefault="009C3812"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nyilatkozat a költségtérítési kötelezettséget vállalásáról</w:t>
      </w:r>
    </w:p>
    <w:p w14:paraId="6B62B0F3" w14:textId="77777777" w:rsidR="005D39CC" w:rsidRPr="00FF6FEA" w:rsidRDefault="00303A2B" w:rsidP="00344051">
      <w:pPr>
        <w:pStyle w:val="Default"/>
        <w:numPr>
          <w:ilvl w:val="0"/>
          <w:numId w:val="25"/>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nyilatkozat a </w:t>
      </w:r>
      <w:r w:rsidR="009C3812" w:rsidRPr="00FF6FEA">
        <w:rPr>
          <w:rFonts w:asciiTheme="minorHAnsi" w:hAnsiTheme="minorHAnsi" w:cstheme="minorHAnsi"/>
          <w:sz w:val="22"/>
          <w:szCs w:val="22"/>
        </w:rPr>
        <w:t>fenti pontok alatt részletezett kötelezettségek</w:t>
      </w:r>
      <w:r w:rsidRPr="00FF6FEA">
        <w:rPr>
          <w:rFonts w:asciiTheme="minorHAnsi" w:hAnsiTheme="minorHAnsi" w:cstheme="minorHAnsi"/>
          <w:sz w:val="22"/>
          <w:szCs w:val="22"/>
        </w:rPr>
        <w:t xml:space="preserve"> elfogadásáról, teljesítéséről</w:t>
      </w:r>
    </w:p>
    <w:p w14:paraId="49CB8570" w14:textId="77777777" w:rsidR="00303A2B" w:rsidRPr="00FF6FEA" w:rsidRDefault="00303A2B" w:rsidP="00303A2B">
      <w:pPr>
        <w:pStyle w:val="Default"/>
        <w:spacing w:line="288" w:lineRule="auto"/>
        <w:jc w:val="both"/>
        <w:rPr>
          <w:rFonts w:asciiTheme="minorHAnsi" w:hAnsiTheme="minorHAnsi" w:cstheme="minorHAnsi"/>
          <w:sz w:val="22"/>
          <w:szCs w:val="22"/>
        </w:rPr>
      </w:pPr>
    </w:p>
    <w:p w14:paraId="1FCB03A3" w14:textId="13C7606F" w:rsidR="00303A2B" w:rsidRPr="00FF6FEA" w:rsidRDefault="00303A2B"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Az összekapcsolási ajánlat benyújtás</w:t>
      </w:r>
      <w:r w:rsidR="00AF16FC" w:rsidRPr="00FF6FEA">
        <w:rPr>
          <w:rFonts w:asciiTheme="minorHAnsi" w:hAnsiTheme="minorHAnsi" w:cstheme="minorHAnsi"/>
          <w:b/>
          <w:bCs/>
          <w:i/>
          <w:iCs/>
          <w:sz w:val="22"/>
          <w:szCs w:val="22"/>
        </w:rPr>
        <w:t>a</w:t>
      </w:r>
    </w:p>
    <w:p w14:paraId="4A5757E9" w14:textId="67ACBF67" w:rsidR="00303A2B" w:rsidRPr="00FF6FEA" w:rsidRDefault="00303A2B" w:rsidP="00AF16FC">
      <w:pPr>
        <w:pStyle w:val="Default"/>
        <w:spacing w:line="288" w:lineRule="auto"/>
        <w:ind w:firstLine="360"/>
        <w:jc w:val="both"/>
        <w:rPr>
          <w:rFonts w:asciiTheme="minorHAnsi" w:hAnsiTheme="minorHAnsi" w:cstheme="minorHAnsi"/>
          <w:sz w:val="22"/>
          <w:szCs w:val="22"/>
        </w:rPr>
      </w:pPr>
      <w:r w:rsidRPr="00FF6FEA">
        <w:rPr>
          <w:rFonts w:asciiTheme="minorHAnsi" w:hAnsiTheme="minorHAnsi" w:cstheme="minorHAnsi"/>
          <w:sz w:val="22"/>
          <w:szCs w:val="22"/>
        </w:rPr>
        <w:t xml:space="preserve">Az ajánlatot magyar nyelven, </w:t>
      </w:r>
      <w:r w:rsidR="00AF16FC" w:rsidRPr="00FF6FEA">
        <w:rPr>
          <w:rFonts w:asciiTheme="minorHAnsi" w:hAnsiTheme="minorHAnsi" w:cstheme="minorHAnsi"/>
          <w:sz w:val="22"/>
          <w:szCs w:val="22"/>
        </w:rPr>
        <w:t>a következő</w:t>
      </w:r>
      <w:r w:rsidRPr="00FF6FEA">
        <w:rPr>
          <w:rFonts w:asciiTheme="minorHAnsi" w:hAnsiTheme="minorHAnsi" w:cstheme="minorHAnsi"/>
          <w:sz w:val="22"/>
          <w:szCs w:val="22"/>
        </w:rPr>
        <w:t xml:space="preserve"> címre kérjük postázni:</w:t>
      </w:r>
    </w:p>
    <w:p w14:paraId="5CAECD36" w14:textId="77777777" w:rsidR="00367719" w:rsidRPr="00FF6FEA" w:rsidRDefault="00303A2B" w:rsidP="00367719">
      <w:pPr>
        <w:pStyle w:val="Default"/>
        <w:spacing w:line="288" w:lineRule="auto"/>
        <w:ind w:firstLine="708"/>
        <w:jc w:val="both"/>
        <w:rPr>
          <w:rFonts w:asciiTheme="minorHAnsi" w:hAnsiTheme="minorHAnsi" w:cstheme="minorHAnsi"/>
          <w:sz w:val="22"/>
          <w:szCs w:val="22"/>
        </w:rPr>
      </w:pPr>
      <w:r w:rsidRPr="00FF6FEA">
        <w:rPr>
          <w:rFonts w:asciiTheme="minorHAnsi" w:hAnsiTheme="minorHAnsi" w:cstheme="minorHAnsi"/>
          <w:sz w:val="22"/>
          <w:szCs w:val="22"/>
        </w:rPr>
        <w:t>Telenor Magyarország Zrt.</w:t>
      </w:r>
    </w:p>
    <w:p w14:paraId="163AD8AA" w14:textId="77777777" w:rsidR="00367719" w:rsidRPr="00FF6FEA" w:rsidRDefault="00303A2B" w:rsidP="00367719">
      <w:pPr>
        <w:pStyle w:val="Default"/>
        <w:spacing w:line="288" w:lineRule="auto"/>
        <w:ind w:firstLine="708"/>
        <w:jc w:val="both"/>
        <w:rPr>
          <w:rFonts w:asciiTheme="minorHAnsi" w:hAnsiTheme="minorHAnsi" w:cstheme="minorHAnsi"/>
          <w:sz w:val="22"/>
          <w:szCs w:val="22"/>
        </w:rPr>
      </w:pPr>
      <w:r w:rsidRPr="00FF6FEA">
        <w:rPr>
          <w:rFonts w:asciiTheme="minorHAnsi" w:hAnsiTheme="minorHAnsi" w:cstheme="minorHAnsi"/>
          <w:sz w:val="22"/>
          <w:szCs w:val="22"/>
        </w:rPr>
        <w:t>„Szabályozási Osztály”</w:t>
      </w:r>
    </w:p>
    <w:p w14:paraId="71BABDDE" w14:textId="54067171" w:rsidR="00303A2B" w:rsidRPr="00FF6FEA" w:rsidRDefault="00303A2B" w:rsidP="00367719">
      <w:pPr>
        <w:pStyle w:val="Default"/>
        <w:spacing w:line="288" w:lineRule="auto"/>
        <w:ind w:firstLine="708"/>
        <w:jc w:val="both"/>
        <w:rPr>
          <w:rFonts w:asciiTheme="minorHAnsi" w:hAnsiTheme="minorHAnsi" w:cstheme="minorHAnsi"/>
          <w:sz w:val="22"/>
          <w:szCs w:val="22"/>
        </w:rPr>
      </w:pPr>
      <w:r w:rsidRPr="00FF6FEA">
        <w:rPr>
          <w:rFonts w:asciiTheme="minorHAnsi" w:hAnsiTheme="minorHAnsi" w:cstheme="minorHAnsi"/>
          <w:sz w:val="22"/>
          <w:szCs w:val="22"/>
        </w:rPr>
        <w:t>2045 Törökbálint, Pannon út 1.</w:t>
      </w:r>
    </w:p>
    <w:p w14:paraId="03670AF4" w14:textId="38254B63" w:rsidR="009748F7" w:rsidRPr="00FF6FEA" w:rsidRDefault="00CE3C22" w:rsidP="00AF16FC">
      <w:pPr>
        <w:pStyle w:val="Default"/>
        <w:spacing w:line="288" w:lineRule="auto"/>
        <w:ind w:left="360"/>
        <w:jc w:val="both"/>
        <w:rPr>
          <w:rFonts w:asciiTheme="minorHAnsi" w:hAnsiTheme="minorHAnsi" w:cstheme="minorHAnsi"/>
          <w:sz w:val="22"/>
          <w:szCs w:val="22"/>
        </w:rPr>
      </w:pPr>
      <w:r w:rsidRPr="00FF6FEA">
        <w:rPr>
          <w:rFonts w:asciiTheme="minorHAnsi" w:hAnsiTheme="minorHAnsi" w:cstheme="minorHAnsi"/>
          <w:sz w:val="22"/>
          <w:szCs w:val="22"/>
        </w:rPr>
        <w:t>A Telenor Magyarország az igény beérkezését követő 30 napon belül írásban tájékoztatja az igénylőt az összekapcsolási lehetőségiről.</w:t>
      </w:r>
    </w:p>
    <w:p w14:paraId="231BD2DD" w14:textId="77777777" w:rsidR="009748F7" w:rsidRPr="00FF6FEA" w:rsidRDefault="009748F7" w:rsidP="00F96243">
      <w:pPr>
        <w:pStyle w:val="Default"/>
        <w:spacing w:line="288" w:lineRule="auto"/>
        <w:ind w:left="284"/>
        <w:jc w:val="both"/>
        <w:rPr>
          <w:rFonts w:asciiTheme="minorHAnsi" w:hAnsiTheme="minorHAnsi" w:cstheme="minorHAnsi"/>
          <w:sz w:val="22"/>
          <w:szCs w:val="22"/>
        </w:rPr>
      </w:pPr>
    </w:p>
    <w:p w14:paraId="7D751FCE" w14:textId="612B6DCD" w:rsidR="00C753DE" w:rsidRPr="00FF6FEA" w:rsidRDefault="00C753DE"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Az összekapcsolás föl</w:t>
      </w:r>
      <w:r w:rsidR="001D50C0" w:rsidRPr="00FF6FEA">
        <w:rPr>
          <w:rFonts w:asciiTheme="minorHAnsi" w:hAnsiTheme="minorHAnsi" w:cstheme="minorHAnsi"/>
          <w:b/>
          <w:bCs/>
          <w:i/>
          <w:iCs/>
          <w:sz w:val="22"/>
          <w:szCs w:val="22"/>
        </w:rPr>
        <w:t>drajzilag meghatározott pontjai</w:t>
      </w:r>
    </w:p>
    <w:p w14:paraId="11521288" w14:textId="77777777" w:rsidR="00C753DE" w:rsidRPr="00FF6FEA" w:rsidRDefault="00C753DE" w:rsidP="00F96243">
      <w:pPr>
        <w:pStyle w:val="Default"/>
        <w:spacing w:line="288" w:lineRule="auto"/>
        <w:ind w:left="284"/>
        <w:jc w:val="both"/>
        <w:rPr>
          <w:rFonts w:asciiTheme="minorHAnsi" w:hAnsiTheme="minorHAnsi" w:cstheme="minorHAnsi"/>
          <w:sz w:val="22"/>
          <w:szCs w:val="22"/>
        </w:rPr>
      </w:pPr>
      <w:r w:rsidRPr="00FF6FEA">
        <w:rPr>
          <w:rFonts w:asciiTheme="minorHAnsi" w:hAnsiTheme="minorHAnsi" w:cstheme="minorHAnsi"/>
          <w:sz w:val="22"/>
          <w:szCs w:val="22"/>
        </w:rPr>
        <w:t xml:space="preserve">A forgalmat a Telenor Magyarország minden esetben a hálózata kapcsolóközpont-síkján levő összekapcsolási pontjai egyikén veszi át. Az összekapcsolási pontig történő forgalom továbbításáról minden esetben a forgalmat indító fél saját költségén gondoskodik. Az összekapcsolási pont egyúttal az igénybe vett forgalmi szolgáltatások teljesítési helye, valamint az ezzel kapcsolatos felelősség viselésének határa. Forgalmi vagy műszaki indokoltság esetén a hálózatok összekapcsolása érdekében több összekapcsolási pont is használható. A lehetséges összekapcsolási pontok közül a Felek műszaki, forgalmi és gazdaságossági szempontok figyelembevételével egyeztetés után jelölik ki a két hálózat összekapcsolódási pontjait. A csatlakozási pont </w:t>
      </w:r>
      <w:r w:rsidR="00620007" w:rsidRPr="00FF6FEA">
        <w:rPr>
          <w:rFonts w:asciiTheme="minorHAnsi" w:hAnsiTheme="minorHAnsi" w:cstheme="minorHAnsi"/>
          <w:sz w:val="22"/>
          <w:szCs w:val="22"/>
        </w:rPr>
        <w:t xml:space="preserve">TDM összeköttetés esetén </w:t>
      </w:r>
      <w:r w:rsidRPr="00FF6FEA">
        <w:rPr>
          <w:rFonts w:asciiTheme="minorHAnsi" w:hAnsiTheme="minorHAnsi" w:cstheme="minorHAnsi"/>
          <w:sz w:val="22"/>
          <w:szCs w:val="22"/>
        </w:rPr>
        <w:t>a Telenor Magyarország digitális elosztó keretének (DDF vagy ODF) átvi</w:t>
      </w:r>
      <w:r w:rsidR="00620007" w:rsidRPr="00FF6FEA">
        <w:rPr>
          <w:rFonts w:asciiTheme="minorHAnsi" w:hAnsiTheme="minorHAnsi" w:cstheme="minorHAnsi"/>
          <w:sz w:val="22"/>
          <w:szCs w:val="22"/>
        </w:rPr>
        <w:t xml:space="preserve">teltechnikai-berendezés oldala, IP összeköttetés esetén </w:t>
      </w:r>
      <w:r w:rsidR="00AF29F6" w:rsidRPr="00FF6FEA">
        <w:rPr>
          <w:rFonts w:asciiTheme="minorHAnsi" w:hAnsiTheme="minorHAnsi" w:cstheme="minorHAnsi"/>
          <w:sz w:val="22"/>
          <w:szCs w:val="22"/>
        </w:rPr>
        <w:t xml:space="preserve">a Telenor Magyarország által e célra kijelölt </w:t>
      </w:r>
      <w:proofErr w:type="spellStart"/>
      <w:r w:rsidR="00AF29F6" w:rsidRPr="00FF6FEA">
        <w:rPr>
          <w:rFonts w:asciiTheme="minorHAnsi" w:hAnsiTheme="minorHAnsi" w:cstheme="minorHAnsi"/>
          <w:sz w:val="22"/>
          <w:szCs w:val="22"/>
        </w:rPr>
        <w:t>switchek</w:t>
      </w:r>
      <w:proofErr w:type="spellEnd"/>
      <w:r w:rsidR="00575020" w:rsidRPr="00FF6FEA">
        <w:rPr>
          <w:rFonts w:asciiTheme="minorHAnsi" w:hAnsiTheme="minorHAnsi" w:cstheme="minorHAnsi"/>
          <w:sz w:val="22"/>
          <w:szCs w:val="22"/>
        </w:rPr>
        <w:t xml:space="preserve"> vagy routerek</w:t>
      </w:r>
      <w:r w:rsidR="00AF29F6" w:rsidRPr="00FF6FEA">
        <w:rPr>
          <w:rFonts w:asciiTheme="minorHAnsi" w:hAnsiTheme="minorHAnsi" w:cstheme="minorHAnsi"/>
          <w:sz w:val="22"/>
          <w:szCs w:val="22"/>
        </w:rPr>
        <w:t xml:space="preserve"> adott </w:t>
      </w:r>
      <w:proofErr w:type="spellStart"/>
      <w:r w:rsidR="00AF29F6" w:rsidRPr="00FF6FEA">
        <w:rPr>
          <w:rFonts w:asciiTheme="minorHAnsi" w:hAnsiTheme="minorHAnsi" w:cstheme="minorHAnsi"/>
          <w:sz w:val="22"/>
          <w:szCs w:val="22"/>
        </w:rPr>
        <w:t>portjai</w:t>
      </w:r>
      <w:proofErr w:type="spellEnd"/>
      <w:r w:rsidR="00AF29F6" w:rsidRPr="00FF6FEA">
        <w:rPr>
          <w:rFonts w:asciiTheme="minorHAnsi" w:hAnsiTheme="minorHAnsi" w:cstheme="minorHAnsi"/>
          <w:sz w:val="22"/>
          <w:szCs w:val="22"/>
        </w:rPr>
        <w:t>.</w:t>
      </w:r>
    </w:p>
    <w:p w14:paraId="69268EA9" w14:textId="77777777" w:rsidR="00FF6FEA" w:rsidRDefault="00FF6FEA" w:rsidP="00D0629D">
      <w:pPr>
        <w:pStyle w:val="Default"/>
        <w:spacing w:line="288" w:lineRule="auto"/>
        <w:ind w:left="284"/>
        <w:jc w:val="both"/>
        <w:rPr>
          <w:rFonts w:asciiTheme="minorHAnsi" w:hAnsiTheme="minorHAnsi" w:cstheme="minorHAnsi"/>
          <w:sz w:val="22"/>
          <w:szCs w:val="22"/>
        </w:rPr>
      </w:pPr>
    </w:p>
    <w:p w14:paraId="1D896645" w14:textId="77777777" w:rsidR="00FF6FEA" w:rsidRDefault="00FF6FEA" w:rsidP="00D0629D">
      <w:pPr>
        <w:pStyle w:val="Default"/>
        <w:spacing w:line="288" w:lineRule="auto"/>
        <w:ind w:left="284"/>
        <w:jc w:val="both"/>
        <w:rPr>
          <w:rFonts w:asciiTheme="minorHAnsi" w:hAnsiTheme="minorHAnsi" w:cstheme="minorHAnsi"/>
          <w:sz w:val="22"/>
          <w:szCs w:val="22"/>
        </w:rPr>
      </w:pPr>
    </w:p>
    <w:p w14:paraId="149DA614" w14:textId="073BD5E5" w:rsidR="001D50C0" w:rsidRPr="00FF6FEA" w:rsidRDefault="00C753DE" w:rsidP="00D0629D">
      <w:pPr>
        <w:pStyle w:val="Default"/>
        <w:spacing w:line="288" w:lineRule="auto"/>
        <w:ind w:left="284"/>
        <w:jc w:val="both"/>
        <w:rPr>
          <w:rFonts w:asciiTheme="minorHAnsi" w:hAnsiTheme="minorHAnsi" w:cstheme="minorHAnsi"/>
          <w:sz w:val="22"/>
          <w:szCs w:val="22"/>
        </w:rPr>
      </w:pPr>
      <w:r w:rsidRPr="00FF6FEA">
        <w:rPr>
          <w:rFonts w:asciiTheme="minorHAnsi" w:hAnsiTheme="minorHAnsi" w:cstheme="minorHAnsi"/>
          <w:sz w:val="22"/>
          <w:szCs w:val="22"/>
        </w:rPr>
        <w:lastRenderedPageBreak/>
        <w:t xml:space="preserve">A Telenor Magyarország által felkínált </w:t>
      </w:r>
      <w:r w:rsidR="00E77F8E" w:rsidRPr="00FF6FEA">
        <w:rPr>
          <w:rFonts w:asciiTheme="minorHAnsi" w:hAnsiTheme="minorHAnsi" w:cstheme="minorHAnsi"/>
          <w:sz w:val="22"/>
          <w:szCs w:val="22"/>
        </w:rPr>
        <w:t xml:space="preserve">TDM </w:t>
      </w:r>
      <w:r w:rsidR="001D50C0" w:rsidRPr="00FF6FEA">
        <w:rPr>
          <w:rFonts w:asciiTheme="minorHAnsi" w:hAnsiTheme="minorHAnsi" w:cstheme="minorHAnsi"/>
          <w:sz w:val="22"/>
          <w:szCs w:val="22"/>
        </w:rPr>
        <w:t>összekapcsol</w:t>
      </w:r>
      <w:r w:rsidR="00D0629D" w:rsidRPr="00FF6FEA">
        <w:rPr>
          <w:rFonts w:asciiTheme="minorHAnsi" w:hAnsiTheme="minorHAnsi" w:cstheme="minorHAnsi"/>
          <w:sz w:val="22"/>
          <w:szCs w:val="22"/>
        </w:rPr>
        <w:t>ási helyszínek b</w:t>
      </w:r>
      <w:r w:rsidR="001D50C0" w:rsidRPr="00FF6FEA">
        <w:rPr>
          <w:rFonts w:asciiTheme="minorHAnsi" w:hAnsiTheme="minorHAnsi" w:cstheme="minorHAnsi"/>
          <w:sz w:val="22"/>
          <w:szCs w:val="22"/>
        </w:rPr>
        <w:t>ővítés</w:t>
      </w:r>
      <w:r w:rsidR="00BE61EE" w:rsidRPr="00FF6FEA">
        <w:rPr>
          <w:rFonts w:asciiTheme="minorHAnsi" w:hAnsiTheme="minorHAnsi" w:cstheme="minorHAnsi"/>
          <w:sz w:val="22"/>
          <w:szCs w:val="22"/>
        </w:rPr>
        <w:t xml:space="preserve"> és új kiépítés</w:t>
      </w:r>
      <w:r w:rsidR="001D50C0" w:rsidRPr="00FF6FEA">
        <w:rPr>
          <w:rFonts w:asciiTheme="minorHAnsi" w:hAnsiTheme="minorHAnsi" w:cstheme="minorHAnsi"/>
          <w:sz w:val="22"/>
          <w:szCs w:val="22"/>
        </w:rPr>
        <w:t xml:space="preserve"> esetén</w:t>
      </w:r>
      <w:r w:rsidR="008B4307" w:rsidRPr="00FF6FEA">
        <w:rPr>
          <w:rFonts w:asciiTheme="minorHAnsi" w:hAnsiTheme="minorHAnsi" w:cstheme="minorHAnsi"/>
          <w:sz w:val="22"/>
          <w:szCs w:val="22"/>
        </w:rPr>
        <w:t xml:space="preserve"> a fent jelzett időpontig</w:t>
      </w:r>
      <w:r w:rsidR="001D50C0" w:rsidRPr="00FF6FEA">
        <w:rPr>
          <w:rFonts w:asciiTheme="minorHAnsi" w:hAnsiTheme="minorHAnsi" w:cstheme="minorHAnsi"/>
          <w:sz w:val="22"/>
          <w:szCs w:val="22"/>
        </w:rPr>
        <w:t>:</w:t>
      </w:r>
    </w:p>
    <w:p w14:paraId="7EF9095B" w14:textId="77777777" w:rsidR="00C753DE" w:rsidRPr="00FF6FEA" w:rsidRDefault="00E77F8E" w:rsidP="00344051">
      <w:pPr>
        <w:pStyle w:val="Default"/>
        <w:numPr>
          <w:ilvl w:val="0"/>
          <w:numId w:val="26"/>
        </w:numPr>
        <w:spacing w:line="288" w:lineRule="auto"/>
        <w:ind w:left="851" w:hanging="295"/>
        <w:jc w:val="both"/>
        <w:rPr>
          <w:rFonts w:asciiTheme="minorHAnsi" w:hAnsiTheme="minorHAnsi" w:cstheme="minorHAnsi"/>
          <w:sz w:val="22"/>
          <w:szCs w:val="22"/>
        </w:rPr>
      </w:pPr>
      <w:r w:rsidRPr="00FF6FEA">
        <w:rPr>
          <w:rFonts w:asciiTheme="minorHAnsi" w:hAnsiTheme="minorHAnsi" w:cstheme="minorHAnsi"/>
          <w:iCs/>
          <w:sz w:val="22"/>
          <w:szCs w:val="22"/>
        </w:rPr>
        <w:t>1139 Budapest, Teve u. 41.</w:t>
      </w:r>
    </w:p>
    <w:p w14:paraId="32E8DBD3" w14:textId="77777777" w:rsidR="00C753DE" w:rsidRPr="00FF6FEA" w:rsidRDefault="00E77F8E" w:rsidP="00344051">
      <w:pPr>
        <w:pStyle w:val="Default"/>
        <w:numPr>
          <w:ilvl w:val="0"/>
          <w:numId w:val="26"/>
        </w:numPr>
        <w:spacing w:line="288" w:lineRule="auto"/>
        <w:ind w:left="851" w:hanging="295"/>
        <w:jc w:val="both"/>
        <w:rPr>
          <w:rFonts w:asciiTheme="minorHAnsi" w:hAnsiTheme="minorHAnsi" w:cstheme="minorHAnsi"/>
          <w:sz w:val="22"/>
          <w:szCs w:val="22"/>
        </w:rPr>
      </w:pPr>
      <w:r w:rsidRPr="00FF6FEA">
        <w:rPr>
          <w:rFonts w:asciiTheme="minorHAnsi" w:hAnsiTheme="minorHAnsi" w:cstheme="minorHAnsi"/>
          <w:iCs/>
          <w:sz w:val="22"/>
          <w:szCs w:val="22"/>
        </w:rPr>
        <w:t>1117 Budapest, Budafoki út 64.</w:t>
      </w:r>
    </w:p>
    <w:p w14:paraId="2A45F98E" w14:textId="77777777" w:rsidR="00C753DE" w:rsidRPr="00FF6FEA" w:rsidRDefault="00C753DE" w:rsidP="00344051">
      <w:pPr>
        <w:pStyle w:val="Default"/>
        <w:numPr>
          <w:ilvl w:val="0"/>
          <w:numId w:val="26"/>
        </w:numPr>
        <w:spacing w:line="288" w:lineRule="auto"/>
        <w:ind w:left="851" w:hanging="295"/>
        <w:jc w:val="both"/>
        <w:rPr>
          <w:rFonts w:asciiTheme="minorHAnsi" w:hAnsiTheme="minorHAnsi" w:cstheme="minorHAnsi"/>
          <w:sz w:val="22"/>
          <w:szCs w:val="22"/>
        </w:rPr>
      </w:pPr>
      <w:r w:rsidRPr="00FF6FEA">
        <w:rPr>
          <w:rFonts w:asciiTheme="minorHAnsi" w:hAnsiTheme="minorHAnsi" w:cstheme="minorHAnsi"/>
          <w:iCs/>
          <w:sz w:val="22"/>
          <w:szCs w:val="22"/>
        </w:rPr>
        <w:t>Sz</w:t>
      </w:r>
      <w:r w:rsidR="00E77F8E" w:rsidRPr="00FF6FEA">
        <w:rPr>
          <w:rFonts w:asciiTheme="minorHAnsi" w:hAnsiTheme="minorHAnsi" w:cstheme="minorHAnsi"/>
          <w:iCs/>
          <w:sz w:val="22"/>
          <w:szCs w:val="22"/>
        </w:rPr>
        <w:t>ékesfehérvár, Telenor telephely</w:t>
      </w:r>
    </w:p>
    <w:p w14:paraId="59839680" w14:textId="77777777" w:rsidR="00C753DE" w:rsidRPr="00FF6FEA" w:rsidRDefault="00E77F8E" w:rsidP="00344051">
      <w:pPr>
        <w:pStyle w:val="Default"/>
        <w:numPr>
          <w:ilvl w:val="0"/>
          <w:numId w:val="26"/>
        </w:numPr>
        <w:spacing w:line="288" w:lineRule="auto"/>
        <w:ind w:left="851" w:hanging="295"/>
        <w:jc w:val="both"/>
        <w:rPr>
          <w:rFonts w:asciiTheme="minorHAnsi" w:hAnsiTheme="minorHAnsi" w:cstheme="minorHAnsi"/>
          <w:sz w:val="22"/>
          <w:szCs w:val="22"/>
        </w:rPr>
      </w:pPr>
      <w:r w:rsidRPr="00FF6FEA">
        <w:rPr>
          <w:rFonts w:asciiTheme="minorHAnsi" w:hAnsiTheme="minorHAnsi" w:cstheme="minorHAnsi"/>
          <w:iCs/>
          <w:sz w:val="22"/>
          <w:szCs w:val="22"/>
        </w:rPr>
        <w:t>Szolnok, Telenor telephely</w:t>
      </w:r>
    </w:p>
    <w:p w14:paraId="28318524" w14:textId="77777777" w:rsidR="00C753DE" w:rsidRPr="00FF6FEA" w:rsidRDefault="00C753DE" w:rsidP="00344051">
      <w:pPr>
        <w:pStyle w:val="Default"/>
        <w:numPr>
          <w:ilvl w:val="0"/>
          <w:numId w:val="26"/>
        </w:numPr>
        <w:spacing w:line="288" w:lineRule="auto"/>
        <w:ind w:left="851" w:hanging="295"/>
        <w:jc w:val="both"/>
        <w:rPr>
          <w:rFonts w:asciiTheme="minorHAnsi" w:hAnsiTheme="minorHAnsi" w:cstheme="minorHAnsi"/>
          <w:sz w:val="22"/>
          <w:szCs w:val="22"/>
        </w:rPr>
      </w:pPr>
      <w:proofErr w:type="spellStart"/>
      <w:r w:rsidRPr="00FF6FEA">
        <w:rPr>
          <w:rFonts w:asciiTheme="minorHAnsi" w:hAnsiTheme="minorHAnsi" w:cstheme="minorHAnsi"/>
          <w:iCs/>
          <w:sz w:val="22"/>
          <w:szCs w:val="22"/>
        </w:rPr>
        <w:t>Sztaki</w:t>
      </w:r>
      <w:proofErr w:type="spellEnd"/>
      <w:r w:rsidRPr="00FF6FEA">
        <w:rPr>
          <w:rFonts w:asciiTheme="minorHAnsi" w:hAnsiTheme="minorHAnsi" w:cstheme="minorHAnsi"/>
          <w:iCs/>
          <w:sz w:val="22"/>
          <w:szCs w:val="22"/>
        </w:rPr>
        <w:t xml:space="preserve"> - Budapest </w:t>
      </w:r>
      <w:r w:rsidR="00E77F8E" w:rsidRPr="00FF6FEA">
        <w:rPr>
          <w:rFonts w:asciiTheme="minorHAnsi" w:hAnsiTheme="minorHAnsi" w:cstheme="minorHAnsi"/>
          <w:iCs/>
          <w:sz w:val="22"/>
          <w:szCs w:val="22"/>
        </w:rPr>
        <w:t>XIII. ker., Victor Hugo u. 18-2.</w:t>
      </w:r>
    </w:p>
    <w:p w14:paraId="0ECD8B5A" w14:textId="77777777" w:rsidR="00C753DE" w:rsidRPr="00FF6FEA" w:rsidRDefault="00C753DE" w:rsidP="00344051">
      <w:pPr>
        <w:pStyle w:val="Default"/>
        <w:numPr>
          <w:ilvl w:val="0"/>
          <w:numId w:val="26"/>
        </w:numPr>
        <w:spacing w:line="288" w:lineRule="auto"/>
        <w:ind w:left="851" w:hanging="295"/>
        <w:jc w:val="both"/>
        <w:rPr>
          <w:rFonts w:asciiTheme="minorHAnsi" w:hAnsiTheme="minorHAnsi" w:cstheme="minorHAnsi"/>
          <w:sz w:val="22"/>
          <w:szCs w:val="22"/>
        </w:rPr>
      </w:pPr>
      <w:proofErr w:type="spellStart"/>
      <w:r w:rsidRPr="00FF6FEA">
        <w:rPr>
          <w:rFonts w:asciiTheme="minorHAnsi" w:hAnsiTheme="minorHAnsi" w:cstheme="minorHAnsi"/>
          <w:iCs/>
          <w:sz w:val="22"/>
          <w:szCs w:val="22"/>
        </w:rPr>
        <w:t>Dataplex</w:t>
      </w:r>
      <w:proofErr w:type="spellEnd"/>
      <w:r w:rsidRPr="00FF6FEA">
        <w:rPr>
          <w:rFonts w:asciiTheme="minorHAnsi" w:hAnsiTheme="minorHAnsi" w:cstheme="minorHAnsi"/>
          <w:iCs/>
          <w:sz w:val="22"/>
          <w:szCs w:val="22"/>
        </w:rPr>
        <w:t xml:space="preserve"> - 1087 </w:t>
      </w:r>
      <w:r w:rsidR="00E77F8E" w:rsidRPr="00FF6FEA">
        <w:rPr>
          <w:rFonts w:asciiTheme="minorHAnsi" w:hAnsiTheme="minorHAnsi" w:cstheme="minorHAnsi"/>
          <w:iCs/>
          <w:sz w:val="22"/>
          <w:szCs w:val="22"/>
        </w:rPr>
        <w:t>Budapest, Asztalos Sándor u.13.</w:t>
      </w:r>
    </w:p>
    <w:p w14:paraId="7E67A3EE" w14:textId="77777777" w:rsidR="00291476" w:rsidRPr="00FF6FEA" w:rsidRDefault="00C753DE" w:rsidP="00344051">
      <w:pPr>
        <w:pStyle w:val="Default"/>
        <w:numPr>
          <w:ilvl w:val="0"/>
          <w:numId w:val="26"/>
        </w:numPr>
        <w:spacing w:line="288" w:lineRule="auto"/>
        <w:ind w:left="851" w:hanging="295"/>
        <w:jc w:val="both"/>
        <w:rPr>
          <w:rFonts w:asciiTheme="minorHAnsi" w:hAnsiTheme="minorHAnsi" w:cstheme="minorHAnsi"/>
          <w:iCs/>
          <w:sz w:val="22"/>
          <w:szCs w:val="22"/>
        </w:rPr>
      </w:pPr>
      <w:proofErr w:type="spellStart"/>
      <w:r w:rsidRPr="00FF6FEA">
        <w:rPr>
          <w:rFonts w:asciiTheme="minorHAnsi" w:hAnsiTheme="minorHAnsi" w:cstheme="minorHAnsi"/>
          <w:iCs/>
          <w:sz w:val="22"/>
          <w:szCs w:val="22"/>
        </w:rPr>
        <w:t>Dataneu</w:t>
      </w:r>
      <w:r w:rsidR="00E77F8E" w:rsidRPr="00FF6FEA">
        <w:rPr>
          <w:rFonts w:asciiTheme="minorHAnsi" w:hAnsiTheme="minorHAnsi" w:cstheme="minorHAnsi"/>
          <w:iCs/>
          <w:sz w:val="22"/>
          <w:szCs w:val="22"/>
        </w:rPr>
        <w:t>m</w:t>
      </w:r>
      <w:proofErr w:type="spellEnd"/>
      <w:r w:rsidR="00E77F8E" w:rsidRPr="00FF6FEA">
        <w:rPr>
          <w:rFonts w:asciiTheme="minorHAnsi" w:hAnsiTheme="minorHAnsi" w:cstheme="minorHAnsi"/>
          <w:iCs/>
          <w:sz w:val="22"/>
          <w:szCs w:val="22"/>
        </w:rPr>
        <w:t xml:space="preserve"> - Budapest X. ker., Kozma u. 3</w:t>
      </w:r>
    </w:p>
    <w:p w14:paraId="1A8CEE43" w14:textId="77777777" w:rsidR="00FF6FEA" w:rsidRDefault="00FF6FEA" w:rsidP="007C28FD">
      <w:pPr>
        <w:pStyle w:val="Default"/>
        <w:spacing w:line="288" w:lineRule="auto"/>
        <w:ind w:left="284"/>
        <w:jc w:val="both"/>
        <w:rPr>
          <w:rFonts w:asciiTheme="minorHAnsi" w:hAnsiTheme="minorHAnsi" w:cstheme="minorHAnsi"/>
          <w:sz w:val="22"/>
          <w:szCs w:val="22"/>
        </w:rPr>
      </w:pPr>
    </w:p>
    <w:p w14:paraId="27DB2DDA" w14:textId="2B9D5190" w:rsidR="00E77F8E" w:rsidRPr="00FF6FEA" w:rsidRDefault="00E77F8E" w:rsidP="007C28FD">
      <w:pPr>
        <w:pStyle w:val="Default"/>
        <w:spacing w:line="288" w:lineRule="auto"/>
        <w:ind w:left="284"/>
        <w:jc w:val="both"/>
        <w:rPr>
          <w:rFonts w:asciiTheme="minorHAnsi" w:hAnsiTheme="minorHAnsi" w:cstheme="minorHAnsi"/>
          <w:iCs/>
          <w:sz w:val="22"/>
          <w:szCs w:val="22"/>
        </w:rPr>
      </w:pPr>
      <w:r w:rsidRPr="00FF6FEA">
        <w:rPr>
          <w:rFonts w:asciiTheme="minorHAnsi" w:hAnsiTheme="minorHAnsi" w:cstheme="minorHAnsi"/>
          <w:sz w:val="22"/>
          <w:szCs w:val="22"/>
        </w:rPr>
        <w:t xml:space="preserve">A Telenor Magyarország által felkínált </w:t>
      </w:r>
      <w:r w:rsidR="00CE3C22" w:rsidRPr="00FF6FEA">
        <w:rPr>
          <w:rFonts w:asciiTheme="minorHAnsi" w:hAnsiTheme="minorHAnsi" w:cstheme="minorHAnsi"/>
          <w:sz w:val="22"/>
          <w:szCs w:val="22"/>
        </w:rPr>
        <w:t xml:space="preserve">új </w:t>
      </w:r>
      <w:r w:rsidRPr="00FF6FEA">
        <w:rPr>
          <w:rFonts w:asciiTheme="minorHAnsi" w:hAnsiTheme="minorHAnsi" w:cstheme="minorHAnsi"/>
          <w:sz w:val="22"/>
          <w:szCs w:val="22"/>
        </w:rPr>
        <w:t xml:space="preserve">IP összekapcsolási helyszínek </w:t>
      </w:r>
      <w:r w:rsidR="00CE3C22" w:rsidRPr="00FF6FEA">
        <w:rPr>
          <w:rFonts w:asciiTheme="minorHAnsi" w:hAnsiTheme="minorHAnsi" w:cstheme="minorHAnsi"/>
          <w:iCs/>
          <w:sz w:val="22"/>
          <w:szCs w:val="22"/>
        </w:rPr>
        <w:t>(prioritási sorrendben)</w:t>
      </w:r>
      <w:r w:rsidRPr="00FF6FEA">
        <w:rPr>
          <w:rFonts w:asciiTheme="minorHAnsi" w:hAnsiTheme="minorHAnsi" w:cstheme="minorHAnsi"/>
          <w:iCs/>
          <w:sz w:val="22"/>
          <w:szCs w:val="22"/>
        </w:rPr>
        <w:t>:</w:t>
      </w:r>
    </w:p>
    <w:p w14:paraId="3A38B1BE" w14:textId="77777777" w:rsidR="00CE3C22" w:rsidRPr="00FF6FEA" w:rsidRDefault="00CE3C22" w:rsidP="00344051">
      <w:pPr>
        <w:pStyle w:val="Default"/>
        <w:numPr>
          <w:ilvl w:val="0"/>
          <w:numId w:val="26"/>
        </w:numPr>
        <w:spacing w:line="288" w:lineRule="auto"/>
        <w:ind w:left="851" w:hanging="295"/>
        <w:jc w:val="both"/>
        <w:rPr>
          <w:rFonts w:asciiTheme="minorHAnsi" w:hAnsiTheme="minorHAnsi" w:cstheme="minorHAnsi"/>
          <w:iCs/>
          <w:sz w:val="22"/>
          <w:szCs w:val="22"/>
        </w:rPr>
      </w:pPr>
      <w:proofErr w:type="spellStart"/>
      <w:r w:rsidRPr="00FF6FEA">
        <w:rPr>
          <w:rFonts w:asciiTheme="minorHAnsi" w:hAnsiTheme="minorHAnsi" w:cstheme="minorHAnsi"/>
          <w:iCs/>
          <w:sz w:val="22"/>
          <w:szCs w:val="22"/>
        </w:rPr>
        <w:t>Dataplex</w:t>
      </w:r>
      <w:proofErr w:type="spellEnd"/>
      <w:r w:rsidRPr="00FF6FEA">
        <w:rPr>
          <w:rFonts w:asciiTheme="minorHAnsi" w:hAnsiTheme="minorHAnsi" w:cstheme="minorHAnsi"/>
          <w:iCs/>
          <w:sz w:val="22"/>
          <w:szCs w:val="22"/>
        </w:rPr>
        <w:t xml:space="preserve"> - 1087 Budapest, Asztalos Sándor u.13.</w:t>
      </w:r>
    </w:p>
    <w:p w14:paraId="3D92B0D2" w14:textId="77777777" w:rsidR="00FF6FEA" w:rsidRPr="00FF6FEA" w:rsidRDefault="00FF6FEA" w:rsidP="00FF6FEA">
      <w:pPr>
        <w:pStyle w:val="Default"/>
        <w:numPr>
          <w:ilvl w:val="0"/>
          <w:numId w:val="26"/>
        </w:numPr>
        <w:spacing w:line="288" w:lineRule="auto"/>
        <w:ind w:left="851" w:hanging="295"/>
        <w:jc w:val="both"/>
        <w:rPr>
          <w:rFonts w:asciiTheme="minorHAnsi" w:hAnsiTheme="minorHAnsi" w:cstheme="minorHAnsi"/>
          <w:iCs/>
          <w:sz w:val="22"/>
          <w:szCs w:val="22"/>
        </w:rPr>
      </w:pPr>
      <w:proofErr w:type="spellStart"/>
      <w:r w:rsidRPr="00FF6FEA">
        <w:rPr>
          <w:rFonts w:asciiTheme="minorHAnsi" w:hAnsiTheme="minorHAnsi" w:cstheme="minorHAnsi"/>
          <w:iCs/>
          <w:sz w:val="22"/>
          <w:szCs w:val="22"/>
        </w:rPr>
        <w:t>Dataneum</w:t>
      </w:r>
      <w:proofErr w:type="spellEnd"/>
      <w:r w:rsidRPr="00FF6FEA">
        <w:rPr>
          <w:rFonts w:asciiTheme="minorHAnsi" w:hAnsiTheme="minorHAnsi" w:cstheme="minorHAnsi"/>
          <w:iCs/>
          <w:sz w:val="22"/>
          <w:szCs w:val="22"/>
        </w:rPr>
        <w:t xml:space="preserve"> - Budapest X. ker., Kozma u. 3</w:t>
      </w:r>
    </w:p>
    <w:p w14:paraId="659A0E64" w14:textId="77777777" w:rsidR="00CE3C22" w:rsidRPr="00FF6FEA" w:rsidRDefault="00CE3C22" w:rsidP="00344051">
      <w:pPr>
        <w:pStyle w:val="Default"/>
        <w:numPr>
          <w:ilvl w:val="0"/>
          <w:numId w:val="26"/>
        </w:numPr>
        <w:spacing w:line="288" w:lineRule="auto"/>
        <w:ind w:left="851" w:hanging="295"/>
        <w:jc w:val="both"/>
        <w:rPr>
          <w:rFonts w:asciiTheme="minorHAnsi" w:hAnsiTheme="minorHAnsi" w:cstheme="minorHAnsi"/>
          <w:iCs/>
          <w:sz w:val="22"/>
          <w:szCs w:val="22"/>
        </w:rPr>
      </w:pPr>
      <w:proofErr w:type="spellStart"/>
      <w:r w:rsidRPr="00FF6FEA">
        <w:rPr>
          <w:rFonts w:asciiTheme="minorHAnsi" w:hAnsiTheme="minorHAnsi" w:cstheme="minorHAnsi"/>
          <w:iCs/>
          <w:sz w:val="22"/>
          <w:szCs w:val="22"/>
        </w:rPr>
        <w:t>Sztaki</w:t>
      </w:r>
      <w:proofErr w:type="spellEnd"/>
      <w:r w:rsidRPr="00FF6FEA">
        <w:rPr>
          <w:rFonts w:asciiTheme="minorHAnsi" w:hAnsiTheme="minorHAnsi" w:cstheme="minorHAnsi"/>
          <w:iCs/>
          <w:sz w:val="22"/>
          <w:szCs w:val="22"/>
        </w:rPr>
        <w:t xml:space="preserve"> - Budapest XIII. ker., Victor Hugo u. 18-22.</w:t>
      </w:r>
    </w:p>
    <w:p w14:paraId="1E7AC0F7" w14:textId="6D40217F" w:rsidR="00E77F8E" w:rsidRPr="00FF6FEA" w:rsidRDefault="00E77F8E" w:rsidP="00344051">
      <w:pPr>
        <w:pStyle w:val="Default"/>
        <w:numPr>
          <w:ilvl w:val="0"/>
          <w:numId w:val="26"/>
        </w:numPr>
        <w:spacing w:line="288" w:lineRule="auto"/>
        <w:ind w:left="851" w:hanging="295"/>
        <w:jc w:val="both"/>
        <w:rPr>
          <w:rFonts w:asciiTheme="minorHAnsi" w:hAnsiTheme="minorHAnsi" w:cstheme="minorHAnsi"/>
          <w:iCs/>
          <w:sz w:val="22"/>
          <w:szCs w:val="22"/>
        </w:rPr>
      </w:pPr>
      <w:r w:rsidRPr="00FF6FEA">
        <w:rPr>
          <w:rFonts w:asciiTheme="minorHAnsi" w:hAnsiTheme="minorHAnsi" w:cstheme="minorHAnsi"/>
          <w:iCs/>
          <w:sz w:val="22"/>
          <w:szCs w:val="22"/>
        </w:rPr>
        <w:t>1117 Budapest, Budafoki út 64.</w:t>
      </w:r>
    </w:p>
    <w:p w14:paraId="39D09545" w14:textId="77777777" w:rsidR="00F00D18" w:rsidRPr="00FF6FEA" w:rsidRDefault="00F00D18" w:rsidP="00F00D18">
      <w:pPr>
        <w:pStyle w:val="Default"/>
        <w:numPr>
          <w:ilvl w:val="0"/>
          <w:numId w:val="26"/>
        </w:numPr>
        <w:spacing w:line="288" w:lineRule="auto"/>
        <w:ind w:left="851" w:hanging="295"/>
        <w:jc w:val="both"/>
        <w:rPr>
          <w:rFonts w:asciiTheme="minorHAnsi" w:hAnsiTheme="minorHAnsi" w:cstheme="minorHAnsi"/>
          <w:sz w:val="22"/>
          <w:szCs w:val="22"/>
        </w:rPr>
      </w:pPr>
      <w:r w:rsidRPr="00FF6FEA">
        <w:rPr>
          <w:rFonts w:asciiTheme="minorHAnsi" w:hAnsiTheme="minorHAnsi" w:cstheme="minorHAnsi"/>
          <w:iCs/>
          <w:sz w:val="22"/>
          <w:szCs w:val="22"/>
        </w:rPr>
        <w:t>1139 Budapest, Teve u. 41.</w:t>
      </w:r>
    </w:p>
    <w:p w14:paraId="620C3674" w14:textId="3EA52EA0" w:rsidR="00CE3C22" w:rsidRPr="00FF6FEA" w:rsidRDefault="00CE3C22" w:rsidP="00344051">
      <w:pPr>
        <w:pStyle w:val="Default"/>
        <w:numPr>
          <w:ilvl w:val="0"/>
          <w:numId w:val="26"/>
        </w:numPr>
        <w:spacing w:line="288" w:lineRule="auto"/>
        <w:ind w:left="851" w:hanging="295"/>
        <w:jc w:val="both"/>
        <w:rPr>
          <w:rFonts w:asciiTheme="minorHAnsi" w:hAnsiTheme="minorHAnsi" w:cstheme="minorHAnsi"/>
          <w:iCs/>
          <w:sz w:val="22"/>
          <w:szCs w:val="22"/>
        </w:rPr>
      </w:pPr>
      <w:r w:rsidRPr="00FF6FEA">
        <w:rPr>
          <w:rFonts w:asciiTheme="minorHAnsi" w:hAnsiTheme="minorHAnsi" w:cstheme="minorHAnsi"/>
          <w:iCs/>
          <w:sz w:val="22"/>
          <w:szCs w:val="22"/>
        </w:rPr>
        <w:t>Székesfehérvár, Telenor telephely</w:t>
      </w:r>
    </w:p>
    <w:p w14:paraId="03D2C7E1" w14:textId="2F805F82" w:rsidR="00682E2E" w:rsidRDefault="00F00D18" w:rsidP="00F00D18">
      <w:pPr>
        <w:pStyle w:val="Default"/>
        <w:spacing w:line="288"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Az összekapcsolási helyszín kiválasztását minden esetben meg kell előznie egyműszaki egyeztetésnek. </w:t>
      </w:r>
    </w:p>
    <w:p w14:paraId="6ADCC3E8" w14:textId="4B541696" w:rsidR="00F00D18" w:rsidRDefault="00F00D18" w:rsidP="00F00D18">
      <w:pPr>
        <w:pStyle w:val="Default"/>
        <w:spacing w:line="288" w:lineRule="auto"/>
        <w:ind w:left="360"/>
        <w:jc w:val="both"/>
        <w:rPr>
          <w:rFonts w:asciiTheme="minorHAnsi" w:hAnsiTheme="minorHAnsi" w:cstheme="minorHAnsi"/>
          <w:sz w:val="22"/>
          <w:szCs w:val="22"/>
        </w:rPr>
      </w:pPr>
      <w:r>
        <w:rPr>
          <w:rFonts w:asciiTheme="minorHAnsi" w:hAnsiTheme="minorHAnsi" w:cstheme="minorHAnsi"/>
          <w:sz w:val="22"/>
          <w:szCs w:val="22"/>
        </w:rPr>
        <w:t>A Telenor Magyarország fenntartja a jogot, hogy egyes helyszíneken mégsem épít ki összeköttetéseket akkor, ha a helyszín elérhetősége hosszútávon nem lesz biztosítható.</w:t>
      </w:r>
    </w:p>
    <w:p w14:paraId="0B126794" w14:textId="77777777" w:rsidR="00F00D18" w:rsidRPr="00FF6FEA" w:rsidRDefault="00F00D18" w:rsidP="008428D7">
      <w:pPr>
        <w:pStyle w:val="Default"/>
        <w:spacing w:line="288" w:lineRule="auto"/>
        <w:jc w:val="both"/>
        <w:rPr>
          <w:rFonts w:asciiTheme="minorHAnsi" w:hAnsiTheme="minorHAnsi" w:cstheme="minorHAnsi"/>
          <w:sz w:val="22"/>
          <w:szCs w:val="22"/>
        </w:rPr>
      </w:pPr>
    </w:p>
    <w:p w14:paraId="484AB7A3" w14:textId="5FC9E739" w:rsidR="00C753DE" w:rsidRPr="00FF6FEA" w:rsidRDefault="00C753DE"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Az összekapcsolá</w:t>
      </w:r>
      <w:r w:rsidR="00462D5B" w:rsidRPr="00FF6FEA">
        <w:rPr>
          <w:rFonts w:asciiTheme="minorHAnsi" w:hAnsiTheme="minorHAnsi" w:cstheme="minorHAnsi"/>
          <w:b/>
          <w:bCs/>
          <w:i/>
          <w:iCs/>
          <w:sz w:val="22"/>
          <w:szCs w:val="22"/>
        </w:rPr>
        <w:t>s lehetséges műszaki megoldásai</w:t>
      </w:r>
    </w:p>
    <w:p w14:paraId="7573CB31" w14:textId="77777777" w:rsidR="006330FA" w:rsidRPr="00FF6FEA" w:rsidRDefault="006330FA" w:rsidP="00AF29F6">
      <w:pPr>
        <w:pStyle w:val="Default"/>
        <w:spacing w:line="288" w:lineRule="auto"/>
        <w:ind w:left="284"/>
        <w:jc w:val="both"/>
        <w:rPr>
          <w:rFonts w:asciiTheme="minorHAnsi" w:hAnsiTheme="minorHAnsi" w:cstheme="minorHAnsi"/>
          <w:b/>
          <w:sz w:val="22"/>
          <w:szCs w:val="22"/>
        </w:rPr>
      </w:pPr>
      <w:r w:rsidRPr="00FF6FEA">
        <w:rPr>
          <w:rFonts w:asciiTheme="minorHAnsi" w:hAnsiTheme="minorHAnsi" w:cstheme="minorHAnsi"/>
          <w:b/>
          <w:sz w:val="22"/>
          <w:szCs w:val="22"/>
        </w:rPr>
        <w:t>TDM összekapcsolódás esetén:</w:t>
      </w:r>
    </w:p>
    <w:p w14:paraId="764714FA" w14:textId="77777777" w:rsidR="00C753DE" w:rsidRPr="00FF6FEA" w:rsidRDefault="00C753DE" w:rsidP="00344051">
      <w:pPr>
        <w:pStyle w:val="Default"/>
        <w:numPr>
          <w:ilvl w:val="0"/>
          <w:numId w:val="22"/>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 xml:space="preserve">A két hálózatot csak digitális áramkörök köthetik össze. A hálózatok összekapcsolásához használt áramkörök forgalomáteresztő képességének méretezését a forgalmat átadó Fél végzi. A szükséges interfészek és nyalábok mennyiségét a végződtető Féllel egyezteti, aki mérésekkel alátámasztott műszaki indokok alapján ezt módosíttathatja a minőségi jellemzők figyelembevétele mellett. </w:t>
      </w:r>
    </w:p>
    <w:p w14:paraId="1FFCB687" w14:textId="42C89D28" w:rsidR="00C753DE" w:rsidRPr="00FF6FEA" w:rsidRDefault="00C753DE" w:rsidP="00344051">
      <w:pPr>
        <w:pStyle w:val="Default"/>
        <w:numPr>
          <w:ilvl w:val="0"/>
          <w:numId w:val="22"/>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Felek az összekapcsolási interfészen a CCS No7 jelzésrendszert (ezen belül ISUPv3) alkalmazzák. A jelzéspontok kódjait Felek az elektronikus hírközlő hálózatok azonosítóinak felosztási tervéről szóló 3/2011. (IX. 26.) NMHH rendeletnek megfelelően határozzák meg.</w:t>
      </w:r>
    </w:p>
    <w:p w14:paraId="3CF32EB0" w14:textId="01488D01" w:rsidR="00C753DE" w:rsidRPr="00FF6FEA" w:rsidRDefault="00C753DE" w:rsidP="00344051">
      <w:pPr>
        <w:pStyle w:val="Default"/>
        <w:numPr>
          <w:ilvl w:val="0"/>
          <w:numId w:val="22"/>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 xml:space="preserve">Felek a hívott számot </w:t>
      </w:r>
      <w:r w:rsidR="00653F4A" w:rsidRPr="00FF6FEA">
        <w:rPr>
          <w:rFonts w:asciiTheme="minorHAnsi" w:hAnsiTheme="minorHAnsi" w:cstheme="minorHAnsi"/>
          <w:sz w:val="22"/>
          <w:szCs w:val="22"/>
        </w:rPr>
        <w:t>(</w:t>
      </w:r>
      <w:r w:rsidRPr="00FF6FEA">
        <w:rPr>
          <w:rFonts w:asciiTheme="minorHAnsi" w:hAnsiTheme="minorHAnsi" w:cstheme="minorHAnsi"/>
          <w:sz w:val="22"/>
          <w:szCs w:val="22"/>
        </w:rPr>
        <w:t>nem hordozott szám</w:t>
      </w:r>
      <w:r w:rsidR="00653F4A" w:rsidRPr="00FF6FEA">
        <w:rPr>
          <w:rFonts w:asciiTheme="minorHAnsi" w:hAnsiTheme="minorHAnsi" w:cstheme="minorHAnsi"/>
          <w:sz w:val="22"/>
          <w:szCs w:val="22"/>
        </w:rPr>
        <w:t xml:space="preserve"> esetén) a „S</w:t>
      </w:r>
      <w:r w:rsidRPr="00FF6FEA">
        <w:rPr>
          <w:rFonts w:asciiTheme="minorHAnsi" w:hAnsiTheme="minorHAnsi" w:cstheme="minorHAnsi"/>
          <w:sz w:val="22"/>
          <w:szCs w:val="22"/>
        </w:rPr>
        <w:t>zolgáltatás vagy hálózatkijelölő szám</w:t>
      </w:r>
      <w:r w:rsidR="00653F4A" w:rsidRPr="00FF6FEA">
        <w:rPr>
          <w:rFonts w:asciiTheme="minorHAnsi" w:hAnsiTheme="minorHAnsi" w:cstheme="minorHAnsi"/>
          <w:sz w:val="22"/>
          <w:szCs w:val="22"/>
        </w:rPr>
        <w:t>”</w:t>
      </w:r>
      <w:r w:rsidRPr="00FF6FEA">
        <w:rPr>
          <w:rFonts w:asciiTheme="minorHAnsi" w:hAnsiTheme="minorHAnsi" w:cstheme="minorHAnsi"/>
          <w:sz w:val="22"/>
          <w:szCs w:val="22"/>
        </w:rPr>
        <w:t xml:space="preserve"> (SHS) + </w:t>
      </w:r>
      <w:r w:rsidR="00653F4A" w:rsidRPr="00FF6FEA">
        <w:rPr>
          <w:rFonts w:asciiTheme="minorHAnsi" w:hAnsiTheme="minorHAnsi" w:cstheme="minorHAnsi"/>
          <w:sz w:val="22"/>
          <w:szCs w:val="22"/>
        </w:rPr>
        <w:t>„E</w:t>
      </w:r>
      <w:r w:rsidRPr="00FF6FEA">
        <w:rPr>
          <w:rFonts w:asciiTheme="minorHAnsi" w:hAnsiTheme="minorHAnsi" w:cstheme="minorHAnsi"/>
          <w:sz w:val="22"/>
          <w:szCs w:val="22"/>
        </w:rPr>
        <w:t>lőfizetői szám</w:t>
      </w:r>
      <w:r w:rsidR="00653F4A" w:rsidRPr="00FF6FEA">
        <w:rPr>
          <w:rFonts w:asciiTheme="minorHAnsi" w:hAnsiTheme="minorHAnsi" w:cstheme="minorHAnsi"/>
          <w:sz w:val="22"/>
          <w:szCs w:val="22"/>
        </w:rPr>
        <w:t>”</w:t>
      </w:r>
      <w:r w:rsidRPr="00FF6FEA">
        <w:rPr>
          <w:rFonts w:asciiTheme="minorHAnsi" w:hAnsiTheme="minorHAnsi" w:cstheme="minorHAnsi"/>
          <w:sz w:val="22"/>
          <w:szCs w:val="22"/>
        </w:rPr>
        <w:t xml:space="preserve"> formátumban adják át (ES), </w:t>
      </w:r>
      <w:proofErr w:type="spellStart"/>
      <w:r w:rsidRPr="00FF6FEA">
        <w:rPr>
          <w:rFonts w:asciiTheme="minorHAnsi" w:hAnsiTheme="minorHAnsi" w:cstheme="minorHAnsi"/>
          <w:sz w:val="22"/>
          <w:szCs w:val="22"/>
        </w:rPr>
        <w:t>Nature</w:t>
      </w:r>
      <w:proofErr w:type="spellEnd"/>
      <w:r w:rsidRPr="00FF6FEA">
        <w:rPr>
          <w:rFonts w:asciiTheme="minorHAnsi" w:hAnsiTheme="minorHAnsi" w:cstheme="minorHAnsi"/>
          <w:sz w:val="22"/>
          <w:szCs w:val="22"/>
        </w:rPr>
        <w:t xml:space="preserve"> of </w:t>
      </w:r>
      <w:proofErr w:type="spellStart"/>
      <w:r w:rsidRPr="00FF6FEA">
        <w:rPr>
          <w:rFonts w:asciiTheme="minorHAnsi" w:hAnsiTheme="minorHAnsi" w:cstheme="minorHAnsi"/>
          <w:sz w:val="22"/>
          <w:szCs w:val="22"/>
        </w:rPr>
        <w:t>Address</w:t>
      </w:r>
      <w:proofErr w:type="spellEnd"/>
      <w:r w:rsidR="006330FA" w:rsidRPr="00FF6FEA">
        <w:rPr>
          <w:rFonts w:asciiTheme="minorHAnsi" w:hAnsiTheme="minorHAnsi" w:cstheme="minorHAnsi"/>
          <w:sz w:val="22"/>
          <w:szCs w:val="22"/>
        </w:rPr>
        <w:t xml:space="preserve"> </w:t>
      </w:r>
      <w:r w:rsidRPr="00FF6FEA">
        <w:rPr>
          <w:rFonts w:asciiTheme="minorHAnsi" w:hAnsiTheme="minorHAnsi" w:cstheme="minorHAnsi"/>
          <w:sz w:val="22"/>
          <w:szCs w:val="22"/>
        </w:rPr>
        <w:t>=</w:t>
      </w:r>
      <w:r w:rsidR="006330FA" w:rsidRPr="00FF6FEA">
        <w:rPr>
          <w:rFonts w:asciiTheme="minorHAnsi" w:hAnsiTheme="minorHAnsi" w:cstheme="minorHAnsi"/>
          <w:sz w:val="22"/>
          <w:szCs w:val="22"/>
        </w:rPr>
        <w:t xml:space="preserve"> </w:t>
      </w:r>
      <w:r w:rsidRPr="00FF6FEA">
        <w:rPr>
          <w:rFonts w:asciiTheme="minorHAnsi" w:hAnsiTheme="minorHAnsi" w:cstheme="minorHAnsi"/>
          <w:sz w:val="22"/>
          <w:szCs w:val="22"/>
        </w:rPr>
        <w:t>NAT értékkel. Felek a saját hálózatukban generálódott forgalmat minden esetben a hívó előfizető számával („A szám”) adják át. Abban az esetben, ha a hívott szám hordozott, akkor a szám átadási formátuma eltérő lehet a fele</w:t>
      </w:r>
      <w:r w:rsidR="006330FA" w:rsidRPr="00FF6FEA">
        <w:rPr>
          <w:rFonts w:asciiTheme="minorHAnsi" w:hAnsiTheme="minorHAnsi" w:cstheme="minorHAnsi"/>
          <w:sz w:val="22"/>
          <w:szCs w:val="22"/>
        </w:rPr>
        <w:t>k megállapodásának megfelelően.</w:t>
      </w:r>
    </w:p>
    <w:p w14:paraId="7E8F3070" w14:textId="56215389" w:rsidR="008D2893" w:rsidRPr="00FF6FEA" w:rsidRDefault="00C753DE" w:rsidP="00344051">
      <w:pPr>
        <w:pStyle w:val="Default"/>
        <w:numPr>
          <w:ilvl w:val="0"/>
          <w:numId w:val="22"/>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 xml:space="preserve">Felek mindent megtesznek annak érdekében, hogy az „A szám” megjelenjen a tranzitált forgalomban is. Felek vállalják, hogy a hálózataik közt továbbított forgalomban, annak irányától függetlenül az „A számot” nem változtatják meg, hiányzó „A szám” esetén azt fiktív számmal nem helyettesítik be. </w:t>
      </w:r>
      <w:r w:rsidR="00653F4A" w:rsidRPr="00FF6FEA">
        <w:rPr>
          <w:rFonts w:asciiTheme="minorHAnsi" w:hAnsiTheme="minorHAnsi" w:cstheme="minorHAnsi"/>
          <w:sz w:val="22"/>
          <w:szCs w:val="22"/>
        </w:rPr>
        <w:t>Továbbá a F</w:t>
      </w:r>
      <w:r w:rsidR="008D2893" w:rsidRPr="00FF6FEA">
        <w:rPr>
          <w:rFonts w:asciiTheme="minorHAnsi" w:hAnsiTheme="minorHAnsi" w:cstheme="minorHAnsi"/>
          <w:sz w:val="22"/>
          <w:szCs w:val="22"/>
        </w:rPr>
        <w:t>elek kötelesek mindent megtenni annak érdekében, hogy ezen kötelezettséget a másik Fél hálózatából indított, illetve ott végződő forgalom vonatkozásában más szerződő partnereik felé tovább érvényesítsék.</w:t>
      </w:r>
    </w:p>
    <w:p w14:paraId="56423EA9" w14:textId="306F9BF4" w:rsidR="008D2893" w:rsidRPr="00FF6FEA" w:rsidRDefault="008D2893" w:rsidP="00344051">
      <w:pPr>
        <w:pStyle w:val="Default"/>
        <w:numPr>
          <w:ilvl w:val="0"/>
          <w:numId w:val="22"/>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Amennyiben a hívás közben visszhang lép fel, annak kiküszöbölése érdekében a csatlakozó felületen visszhangzár alkalmazása szükséges. A visszhangzár beiktatásáról a forgalmat indító Fél – saját költségén – köteles gondoskodni</w:t>
      </w:r>
      <w:r w:rsidR="00653F4A" w:rsidRPr="00FF6FEA">
        <w:rPr>
          <w:rFonts w:asciiTheme="minorHAnsi" w:hAnsiTheme="minorHAnsi" w:cstheme="minorHAnsi"/>
          <w:sz w:val="22"/>
          <w:szCs w:val="22"/>
        </w:rPr>
        <w:t>.</w:t>
      </w:r>
    </w:p>
    <w:p w14:paraId="051D6579" w14:textId="77777777" w:rsidR="0097286B" w:rsidRPr="00FF6FEA" w:rsidRDefault="006330FA" w:rsidP="006330FA">
      <w:pPr>
        <w:pStyle w:val="Default"/>
        <w:spacing w:line="288" w:lineRule="auto"/>
        <w:ind w:firstLine="284"/>
        <w:jc w:val="both"/>
        <w:rPr>
          <w:rFonts w:asciiTheme="minorHAnsi" w:hAnsiTheme="minorHAnsi" w:cstheme="minorHAnsi"/>
          <w:b/>
          <w:sz w:val="22"/>
          <w:szCs w:val="22"/>
        </w:rPr>
      </w:pPr>
      <w:r w:rsidRPr="00FF6FEA">
        <w:rPr>
          <w:rFonts w:asciiTheme="minorHAnsi" w:hAnsiTheme="minorHAnsi" w:cstheme="minorHAnsi"/>
          <w:b/>
          <w:sz w:val="22"/>
          <w:szCs w:val="22"/>
        </w:rPr>
        <w:lastRenderedPageBreak/>
        <w:t>IP összekapcsolódás esetén:</w:t>
      </w:r>
    </w:p>
    <w:p w14:paraId="53CA97AA" w14:textId="77777777" w:rsidR="006330FA" w:rsidRPr="00FF6FEA" w:rsidRDefault="006330FA" w:rsidP="00344051">
      <w:pPr>
        <w:pStyle w:val="Default"/>
        <w:numPr>
          <w:ilvl w:val="0"/>
          <w:numId w:val="23"/>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A két hálózatot csak digitális áramkörök köthetik össze. A hálózatok összekapcsolásához JPE szolgáltatók esetében vagy 1G</w:t>
      </w:r>
      <w:r w:rsidR="00800CFA" w:rsidRPr="00FF6FEA">
        <w:rPr>
          <w:rFonts w:asciiTheme="minorHAnsi" w:hAnsiTheme="minorHAnsi" w:cstheme="minorHAnsi"/>
          <w:sz w:val="22"/>
          <w:szCs w:val="22"/>
        </w:rPr>
        <w:t>e</w:t>
      </w:r>
      <w:r w:rsidRPr="00FF6FEA">
        <w:rPr>
          <w:rFonts w:asciiTheme="minorHAnsi" w:hAnsiTheme="minorHAnsi" w:cstheme="minorHAnsi"/>
          <w:sz w:val="22"/>
          <w:szCs w:val="22"/>
        </w:rPr>
        <w:t xml:space="preserve"> vagy 10G</w:t>
      </w:r>
      <w:r w:rsidR="00800CFA" w:rsidRPr="00FF6FEA">
        <w:rPr>
          <w:rFonts w:asciiTheme="minorHAnsi" w:hAnsiTheme="minorHAnsi" w:cstheme="minorHAnsi"/>
          <w:sz w:val="22"/>
          <w:szCs w:val="22"/>
        </w:rPr>
        <w:t>e</w:t>
      </w:r>
      <w:r w:rsidRPr="00FF6FEA">
        <w:rPr>
          <w:rFonts w:asciiTheme="minorHAnsi" w:hAnsiTheme="minorHAnsi" w:cstheme="minorHAnsi"/>
          <w:sz w:val="22"/>
          <w:szCs w:val="22"/>
        </w:rPr>
        <w:t xml:space="preserve"> – redundáns – összeköttetés (interfészt), míg nem JPE szolgáltatók esetében csak 1G-ás –redundáns – összeköttetés (interfész) kiépítése támogatott.</w:t>
      </w:r>
    </w:p>
    <w:p w14:paraId="1E294441" w14:textId="77777777" w:rsidR="006330FA" w:rsidRPr="00FF6FEA" w:rsidRDefault="006330FA" w:rsidP="00344051">
      <w:pPr>
        <w:pStyle w:val="Default"/>
        <w:numPr>
          <w:ilvl w:val="0"/>
          <w:numId w:val="23"/>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 xml:space="preserve">IP alapú összekapcsolás esetén a jelzésprotokoll SIP </w:t>
      </w:r>
      <w:r w:rsidR="00575020" w:rsidRPr="00FF6FEA">
        <w:rPr>
          <w:rFonts w:asciiTheme="minorHAnsi" w:hAnsiTheme="minorHAnsi" w:cstheme="minorHAnsi"/>
          <w:sz w:val="22"/>
          <w:szCs w:val="22"/>
        </w:rPr>
        <w:t xml:space="preserve">RFC </w:t>
      </w:r>
      <w:r w:rsidRPr="00FF6FEA">
        <w:rPr>
          <w:rFonts w:asciiTheme="minorHAnsi" w:hAnsiTheme="minorHAnsi" w:cstheme="minorHAnsi"/>
          <w:sz w:val="22"/>
          <w:szCs w:val="22"/>
        </w:rPr>
        <w:t xml:space="preserve">3261 szabvány szerint kerül alkalmazásra. Az optikai </w:t>
      </w:r>
      <w:proofErr w:type="spellStart"/>
      <w:r w:rsidRPr="00FF6FEA">
        <w:rPr>
          <w:rFonts w:asciiTheme="minorHAnsi" w:hAnsiTheme="minorHAnsi" w:cstheme="minorHAnsi"/>
          <w:sz w:val="22"/>
          <w:szCs w:val="22"/>
        </w:rPr>
        <w:t>ethernet</w:t>
      </w:r>
      <w:proofErr w:type="spellEnd"/>
      <w:r w:rsidRPr="00FF6FEA">
        <w:rPr>
          <w:rFonts w:asciiTheme="minorHAnsi" w:hAnsiTheme="minorHAnsi" w:cstheme="minorHAnsi"/>
          <w:sz w:val="22"/>
          <w:szCs w:val="22"/>
        </w:rPr>
        <w:t xml:space="preserve"> interfész követelményeit a </w:t>
      </w:r>
      <w:r w:rsidR="00575020" w:rsidRPr="00FF6FEA">
        <w:rPr>
          <w:rFonts w:asciiTheme="minorHAnsi" w:hAnsiTheme="minorHAnsi" w:cstheme="minorHAnsi"/>
          <w:sz w:val="22"/>
          <w:szCs w:val="22"/>
        </w:rPr>
        <w:t xml:space="preserve">RFC </w:t>
      </w:r>
      <w:r w:rsidRPr="00FF6FEA">
        <w:rPr>
          <w:rFonts w:asciiTheme="minorHAnsi" w:hAnsiTheme="minorHAnsi" w:cstheme="minorHAnsi"/>
          <w:sz w:val="22"/>
          <w:szCs w:val="22"/>
        </w:rPr>
        <w:t xml:space="preserve">894, </w:t>
      </w:r>
      <w:proofErr w:type="spellStart"/>
      <w:r w:rsidRPr="00FF6FEA">
        <w:rPr>
          <w:rFonts w:asciiTheme="minorHAnsi" w:hAnsiTheme="minorHAnsi" w:cstheme="minorHAnsi"/>
          <w:sz w:val="22"/>
          <w:szCs w:val="22"/>
        </w:rPr>
        <w:t>protocol</w:t>
      </w:r>
      <w:proofErr w:type="spellEnd"/>
      <w:r w:rsidRPr="00FF6FEA">
        <w:rPr>
          <w:rFonts w:asciiTheme="minorHAnsi" w:hAnsiTheme="minorHAnsi" w:cstheme="minorHAnsi"/>
          <w:sz w:val="22"/>
          <w:szCs w:val="22"/>
        </w:rPr>
        <w:t xml:space="preserve"> és a </w:t>
      </w:r>
      <w:r w:rsidR="00575020" w:rsidRPr="00FF6FEA">
        <w:rPr>
          <w:rFonts w:asciiTheme="minorHAnsi" w:hAnsiTheme="minorHAnsi" w:cstheme="minorHAnsi"/>
          <w:sz w:val="22"/>
          <w:szCs w:val="22"/>
        </w:rPr>
        <w:t xml:space="preserve">RFC </w:t>
      </w:r>
      <w:r w:rsidRPr="00FF6FEA">
        <w:rPr>
          <w:rFonts w:asciiTheme="minorHAnsi" w:hAnsiTheme="minorHAnsi" w:cstheme="minorHAnsi"/>
          <w:sz w:val="22"/>
          <w:szCs w:val="22"/>
        </w:rPr>
        <w:t xml:space="preserve">791 tartalmazza. A SIP-I (ITU Q1912.5 </w:t>
      </w:r>
      <w:proofErr w:type="spellStart"/>
      <w:r w:rsidRPr="00FF6FEA">
        <w:rPr>
          <w:rFonts w:asciiTheme="minorHAnsi" w:hAnsiTheme="minorHAnsi" w:cstheme="minorHAnsi"/>
          <w:sz w:val="22"/>
          <w:szCs w:val="22"/>
        </w:rPr>
        <w:t>Profile</w:t>
      </w:r>
      <w:proofErr w:type="spellEnd"/>
      <w:r w:rsidRPr="00FF6FEA">
        <w:rPr>
          <w:rFonts w:asciiTheme="minorHAnsi" w:hAnsiTheme="minorHAnsi" w:cstheme="minorHAnsi"/>
          <w:sz w:val="22"/>
          <w:szCs w:val="22"/>
        </w:rPr>
        <w:t xml:space="preserve"> C) nem támogatott, így ezen az összekapcsoláson ISDN kiegészítő szolgáltatások átjelzésére nincs lehetőség.</w:t>
      </w:r>
    </w:p>
    <w:p w14:paraId="302C2FE1" w14:textId="77777777" w:rsidR="006330FA" w:rsidRPr="00FF6FEA" w:rsidRDefault="006330FA" w:rsidP="00344051">
      <w:pPr>
        <w:pStyle w:val="Default"/>
        <w:numPr>
          <w:ilvl w:val="0"/>
          <w:numId w:val="23"/>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Felek a hívott számot International formátumban (+36 SHS xxx-</w:t>
      </w:r>
      <w:proofErr w:type="spellStart"/>
      <w:r w:rsidRPr="00FF6FEA">
        <w:rPr>
          <w:rFonts w:asciiTheme="minorHAnsi" w:hAnsiTheme="minorHAnsi" w:cstheme="minorHAnsi"/>
          <w:sz w:val="22"/>
          <w:szCs w:val="22"/>
        </w:rPr>
        <w:t>xxxx</w:t>
      </w:r>
      <w:proofErr w:type="spellEnd"/>
      <w:r w:rsidRPr="00FF6FEA">
        <w:rPr>
          <w:rFonts w:asciiTheme="minorHAnsi" w:hAnsiTheme="minorHAnsi" w:cstheme="minorHAnsi"/>
          <w:sz w:val="22"/>
          <w:szCs w:val="22"/>
        </w:rPr>
        <w:t xml:space="preserve">, +36 BRS xxx-xxx) adják át egymásnak, továbbá </w:t>
      </w:r>
      <w:proofErr w:type="spellStart"/>
      <w:r w:rsidRPr="00FF6FEA">
        <w:rPr>
          <w:rFonts w:asciiTheme="minorHAnsi" w:hAnsiTheme="minorHAnsi" w:cstheme="minorHAnsi"/>
          <w:sz w:val="22"/>
          <w:szCs w:val="22"/>
        </w:rPr>
        <w:t>All</w:t>
      </w:r>
      <w:proofErr w:type="spellEnd"/>
      <w:r w:rsidRPr="00FF6FEA">
        <w:rPr>
          <w:rFonts w:asciiTheme="minorHAnsi" w:hAnsiTheme="minorHAnsi" w:cstheme="minorHAnsi"/>
          <w:sz w:val="22"/>
          <w:szCs w:val="22"/>
        </w:rPr>
        <w:t xml:space="preserve"> </w:t>
      </w:r>
      <w:proofErr w:type="spellStart"/>
      <w:r w:rsidRPr="00FF6FEA">
        <w:rPr>
          <w:rFonts w:asciiTheme="minorHAnsi" w:hAnsiTheme="minorHAnsi" w:cstheme="minorHAnsi"/>
          <w:sz w:val="22"/>
          <w:szCs w:val="22"/>
        </w:rPr>
        <w:t>Call</w:t>
      </w:r>
      <w:proofErr w:type="spellEnd"/>
      <w:r w:rsidRPr="00FF6FEA">
        <w:rPr>
          <w:rFonts w:asciiTheme="minorHAnsi" w:hAnsiTheme="minorHAnsi" w:cstheme="minorHAnsi"/>
          <w:sz w:val="22"/>
          <w:szCs w:val="22"/>
        </w:rPr>
        <w:t xml:space="preserve"> </w:t>
      </w:r>
      <w:proofErr w:type="spellStart"/>
      <w:r w:rsidRPr="00FF6FEA">
        <w:rPr>
          <w:rFonts w:asciiTheme="minorHAnsi" w:hAnsiTheme="minorHAnsi" w:cstheme="minorHAnsi"/>
          <w:sz w:val="22"/>
          <w:szCs w:val="22"/>
        </w:rPr>
        <w:t>Query</w:t>
      </w:r>
      <w:proofErr w:type="spellEnd"/>
      <w:r w:rsidRPr="00FF6FEA">
        <w:rPr>
          <w:rFonts w:asciiTheme="minorHAnsi" w:hAnsiTheme="minorHAnsi" w:cstheme="minorHAnsi"/>
          <w:sz w:val="22"/>
          <w:szCs w:val="22"/>
        </w:rPr>
        <w:t xml:space="preserve"> módszerrel a hí</w:t>
      </w:r>
      <w:r w:rsidR="00297D0D" w:rsidRPr="00FF6FEA">
        <w:rPr>
          <w:rFonts w:asciiTheme="minorHAnsi" w:hAnsiTheme="minorHAnsi" w:cstheme="minorHAnsi"/>
          <w:sz w:val="22"/>
          <w:szCs w:val="22"/>
        </w:rPr>
        <w:t>vásfelépülés előtt meghatározzák</w:t>
      </w:r>
      <w:r w:rsidRPr="00FF6FEA">
        <w:rPr>
          <w:rFonts w:asciiTheme="minorHAnsi" w:hAnsiTheme="minorHAnsi" w:cstheme="minorHAnsi"/>
          <w:sz w:val="22"/>
          <w:szCs w:val="22"/>
        </w:rPr>
        <w:t xml:space="preserve"> a hívott szám </w:t>
      </w:r>
      <w:r w:rsidR="00297D0D" w:rsidRPr="00FF6FEA">
        <w:rPr>
          <w:rFonts w:asciiTheme="minorHAnsi" w:hAnsiTheme="minorHAnsi" w:cstheme="minorHAnsi"/>
          <w:sz w:val="22"/>
          <w:szCs w:val="22"/>
        </w:rPr>
        <w:t>hordozottsági</w:t>
      </w:r>
      <w:r w:rsidRPr="00FF6FEA">
        <w:rPr>
          <w:rFonts w:asciiTheme="minorHAnsi" w:hAnsiTheme="minorHAnsi" w:cstheme="minorHAnsi"/>
          <w:sz w:val="22"/>
          <w:szCs w:val="22"/>
        </w:rPr>
        <w:t xml:space="preserve"> státuszát. </w:t>
      </w:r>
      <w:r w:rsidR="00297D0D" w:rsidRPr="00FF6FEA">
        <w:rPr>
          <w:rFonts w:asciiTheme="minorHAnsi" w:hAnsiTheme="minorHAnsi" w:cstheme="minorHAnsi"/>
          <w:sz w:val="22"/>
          <w:szCs w:val="22"/>
        </w:rPr>
        <w:t>A hordozás eredményét (</w:t>
      </w:r>
      <w:proofErr w:type="spellStart"/>
      <w:r w:rsidR="00297D0D" w:rsidRPr="00FF6FEA">
        <w:rPr>
          <w:rFonts w:asciiTheme="minorHAnsi" w:hAnsiTheme="minorHAnsi" w:cstheme="minorHAnsi"/>
          <w:sz w:val="22"/>
          <w:szCs w:val="22"/>
        </w:rPr>
        <w:t>Routing</w:t>
      </w:r>
      <w:proofErr w:type="spellEnd"/>
      <w:r w:rsidR="00297D0D" w:rsidRPr="00FF6FEA">
        <w:rPr>
          <w:rFonts w:asciiTheme="minorHAnsi" w:hAnsiTheme="minorHAnsi" w:cstheme="minorHAnsi"/>
          <w:sz w:val="22"/>
          <w:szCs w:val="22"/>
        </w:rPr>
        <w:t xml:space="preserve"> Number) a Felek a S</w:t>
      </w:r>
      <w:r w:rsidR="00575020" w:rsidRPr="00FF6FEA">
        <w:rPr>
          <w:rFonts w:asciiTheme="minorHAnsi" w:hAnsiTheme="minorHAnsi" w:cstheme="minorHAnsi"/>
          <w:sz w:val="22"/>
          <w:szCs w:val="22"/>
        </w:rPr>
        <w:t>I</w:t>
      </w:r>
      <w:r w:rsidR="00297D0D" w:rsidRPr="00FF6FEA">
        <w:rPr>
          <w:rFonts w:asciiTheme="minorHAnsi" w:hAnsiTheme="minorHAnsi" w:cstheme="minorHAnsi"/>
          <w:sz w:val="22"/>
          <w:szCs w:val="22"/>
        </w:rPr>
        <w:t xml:space="preserve">P üzenet megfelelő </w:t>
      </w:r>
      <w:r w:rsidR="005413DE" w:rsidRPr="00FF6FEA">
        <w:rPr>
          <w:rFonts w:asciiTheme="minorHAnsi" w:hAnsiTheme="minorHAnsi" w:cstheme="minorHAnsi"/>
          <w:sz w:val="22"/>
          <w:szCs w:val="22"/>
        </w:rPr>
        <w:t>mezőjében továbbítják egymásnak.</w:t>
      </w:r>
    </w:p>
    <w:p w14:paraId="2A35A268" w14:textId="4E8611EA" w:rsidR="005413DE" w:rsidRPr="00FF6FEA" w:rsidRDefault="005413DE" w:rsidP="00344051">
      <w:pPr>
        <w:pStyle w:val="Default"/>
        <w:numPr>
          <w:ilvl w:val="0"/>
          <w:numId w:val="23"/>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 xml:space="preserve">A Telenor minden olyan IP alapú bejövő híváskezdeményezést blokkolhat, amikor a szám hordozottsága nem került meghatározásra, azaz a </w:t>
      </w:r>
      <w:proofErr w:type="spellStart"/>
      <w:r w:rsidRPr="00FF6FEA">
        <w:rPr>
          <w:rFonts w:asciiTheme="minorHAnsi" w:hAnsiTheme="minorHAnsi" w:cstheme="minorHAnsi"/>
          <w:sz w:val="22"/>
          <w:szCs w:val="22"/>
        </w:rPr>
        <w:t>Routing</w:t>
      </w:r>
      <w:proofErr w:type="spellEnd"/>
      <w:r w:rsidRPr="00FF6FEA">
        <w:rPr>
          <w:rFonts w:asciiTheme="minorHAnsi" w:hAnsiTheme="minorHAnsi" w:cstheme="minorHAnsi"/>
          <w:sz w:val="22"/>
          <w:szCs w:val="22"/>
        </w:rPr>
        <w:t xml:space="preserve"> Number mező ér</w:t>
      </w:r>
      <w:r w:rsidR="003A52E1" w:rsidRPr="00FF6FEA">
        <w:rPr>
          <w:rFonts w:asciiTheme="minorHAnsi" w:hAnsiTheme="minorHAnsi" w:cstheme="minorHAnsi"/>
          <w:sz w:val="22"/>
          <w:szCs w:val="22"/>
        </w:rPr>
        <w:t>t</w:t>
      </w:r>
      <w:r w:rsidRPr="00FF6FEA">
        <w:rPr>
          <w:rFonts w:asciiTheme="minorHAnsi" w:hAnsiTheme="minorHAnsi" w:cstheme="minorHAnsi"/>
          <w:sz w:val="22"/>
          <w:szCs w:val="22"/>
        </w:rPr>
        <w:t>éke üres.</w:t>
      </w:r>
    </w:p>
    <w:p w14:paraId="44E60A3F" w14:textId="60563B6A" w:rsidR="006330FA" w:rsidRPr="00FF6FEA" w:rsidRDefault="006330FA" w:rsidP="00344051">
      <w:pPr>
        <w:pStyle w:val="Default"/>
        <w:numPr>
          <w:ilvl w:val="0"/>
          <w:numId w:val="23"/>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Felek mindent megtesznek annak érdekében, hogy az „A szám” megjelenjen a tranzitált forgalomban is. Felek vállalják, hogy a hálózataik közt továbbított forgalomban, annak irányától függetlenül az „A számot” nem változtatják meg, hiányzó „A szám” esetén azt fiktí</w:t>
      </w:r>
      <w:r w:rsidR="005413DE" w:rsidRPr="00FF6FEA">
        <w:rPr>
          <w:rFonts w:asciiTheme="minorHAnsi" w:hAnsiTheme="minorHAnsi" w:cstheme="minorHAnsi"/>
          <w:sz w:val="22"/>
          <w:szCs w:val="22"/>
        </w:rPr>
        <w:t>v számmal nem helyettesítik be.</w:t>
      </w:r>
      <w:r w:rsidR="003A52E1" w:rsidRPr="00FF6FEA">
        <w:rPr>
          <w:rFonts w:asciiTheme="minorHAnsi" w:hAnsiTheme="minorHAnsi" w:cstheme="minorHAnsi"/>
          <w:sz w:val="22"/>
          <w:szCs w:val="22"/>
        </w:rPr>
        <w:t xml:space="preserve"> Továbbá a F</w:t>
      </w:r>
      <w:r w:rsidRPr="00FF6FEA">
        <w:rPr>
          <w:rFonts w:asciiTheme="minorHAnsi" w:hAnsiTheme="minorHAnsi" w:cstheme="minorHAnsi"/>
          <w:sz w:val="22"/>
          <w:szCs w:val="22"/>
        </w:rPr>
        <w:t xml:space="preserve">elek kötelesek mindent megtenni annak érdekében, hogy ezen kötelezettséget a másik Fél hálózatából indított, illetve ott végződő forgalom vonatkozásában más szerződő partnereik felé tovább érvényesítsék. </w:t>
      </w:r>
    </w:p>
    <w:p w14:paraId="4823FC9C" w14:textId="5A53C1AF" w:rsidR="006330FA" w:rsidRPr="00FF6FEA" w:rsidRDefault="006330FA" w:rsidP="00344051">
      <w:pPr>
        <w:pStyle w:val="Default"/>
        <w:numPr>
          <w:ilvl w:val="0"/>
          <w:numId w:val="23"/>
        </w:numPr>
        <w:spacing w:line="288" w:lineRule="auto"/>
        <w:ind w:left="709" w:hanging="294"/>
        <w:jc w:val="both"/>
        <w:rPr>
          <w:rFonts w:asciiTheme="minorHAnsi" w:hAnsiTheme="minorHAnsi" w:cstheme="minorHAnsi"/>
          <w:sz w:val="22"/>
          <w:szCs w:val="22"/>
        </w:rPr>
      </w:pPr>
      <w:r w:rsidRPr="00FF6FEA">
        <w:rPr>
          <w:rFonts w:asciiTheme="minorHAnsi" w:hAnsiTheme="minorHAnsi" w:cstheme="minorHAnsi"/>
          <w:sz w:val="22"/>
          <w:szCs w:val="22"/>
        </w:rPr>
        <w:t>Amennyiben a hívás közben visszhang lép fel, annak kiküszöbölése érdekében visszhangzár alkalmazása szükséges. A visszhangzár beiktatásáról</w:t>
      </w:r>
      <w:r w:rsidR="00480778" w:rsidRPr="00FF6FEA">
        <w:rPr>
          <w:rFonts w:asciiTheme="minorHAnsi" w:hAnsiTheme="minorHAnsi" w:cstheme="minorHAnsi"/>
          <w:sz w:val="22"/>
          <w:szCs w:val="22"/>
        </w:rPr>
        <w:t xml:space="preserve"> annak a Félnek kell </w:t>
      </w:r>
      <w:r w:rsidRPr="00FF6FEA">
        <w:rPr>
          <w:rFonts w:asciiTheme="minorHAnsi" w:hAnsiTheme="minorHAnsi" w:cstheme="minorHAnsi"/>
          <w:sz w:val="22"/>
          <w:szCs w:val="22"/>
        </w:rPr>
        <w:t>– saját költségén –</w:t>
      </w:r>
      <w:r w:rsidR="004807C7" w:rsidRPr="00FF6FEA">
        <w:rPr>
          <w:rFonts w:asciiTheme="minorHAnsi" w:hAnsiTheme="minorHAnsi" w:cstheme="minorHAnsi"/>
          <w:sz w:val="22"/>
          <w:szCs w:val="22"/>
        </w:rPr>
        <w:t xml:space="preserve"> gondoskodnia</w:t>
      </w:r>
      <w:r w:rsidR="003A52E1" w:rsidRPr="00FF6FEA">
        <w:rPr>
          <w:rFonts w:asciiTheme="minorHAnsi" w:hAnsiTheme="minorHAnsi" w:cstheme="minorHAnsi"/>
          <w:sz w:val="22"/>
          <w:szCs w:val="22"/>
        </w:rPr>
        <w:t xml:space="preserve">, </w:t>
      </w:r>
      <w:r w:rsidR="004807C7" w:rsidRPr="00FF6FEA">
        <w:rPr>
          <w:rFonts w:asciiTheme="minorHAnsi" w:hAnsiTheme="minorHAnsi" w:cstheme="minorHAnsi"/>
          <w:sz w:val="22"/>
          <w:szCs w:val="22"/>
        </w:rPr>
        <w:t>ahol a visszhang keletkezik (belföldi vezetékes szám hívásakor, vagy belföldi vezetékes számról kezdeményezett hívások esetében a vezetékes telefonszolgáltatást nyújtó félnek).</w:t>
      </w:r>
    </w:p>
    <w:p w14:paraId="279ED1D4" w14:textId="77777777" w:rsidR="0097286B" w:rsidRPr="00FF6FEA" w:rsidRDefault="00771987" w:rsidP="008428D7">
      <w:pPr>
        <w:pStyle w:val="Default"/>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 xml:space="preserve"> </w:t>
      </w:r>
    </w:p>
    <w:p w14:paraId="12E46DBD" w14:textId="11746DD2" w:rsidR="008D2893" w:rsidRPr="00FF6FEA" w:rsidRDefault="008D2893"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 xml:space="preserve">A megajánlott összekapcsolási forgalmi szolgáltatás </w:t>
      </w:r>
    </w:p>
    <w:p w14:paraId="60529638" w14:textId="77777777" w:rsidR="008D2893" w:rsidRPr="00FF6FEA" w:rsidRDefault="008D2893" w:rsidP="00344051">
      <w:pPr>
        <w:pStyle w:val="Default"/>
        <w:spacing w:line="288" w:lineRule="auto"/>
        <w:ind w:left="360"/>
        <w:jc w:val="both"/>
        <w:rPr>
          <w:rFonts w:asciiTheme="minorHAnsi" w:hAnsiTheme="minorHAnsi" w:cstheme="minorHAnsi"/>
          <w:sz w:val="22"/>
          <w:szCs w:val="22"/>
        </w:rPr>
      </w:pPr>
      <w:r w:rsidRPr="00FF6FEA">
        <w:rPr>
          <w:rFonts w:asciiTheme="minorHAnsi" w:hAnsiTheme="minorHAnsi" w:cstheme="minorHAnsi"/>
          <w:sz w:val="22"/>
          <w:szCs w:val="22"/>
        </w:rPr>
        <w:t>Hívásvégződtetés – és eseti megállapodástól függően egyéb kapcsolódó szolgáltatások – a Te</w:t>
      </w:r>
      <w:r w:rsidR="005413DE" w:rsidRPr="00FF6FEA">
        <w:rPr>
          <w:rFonts w:asciiTheme="minorHAnsi" w:hAnsiTheme="minorHAnsi" w:cstheme="minorHAnsi"/>
          <w:sz w:val="22"/>
          <w:szCs w:val="22"/>
        </w:rPr>
        <w:t>lenor Magyarország hálózatában.</w:t>
      </w:r>
    </w:p>
    <w:p w14:paraId="5B59C2C6" w14:textId="77777777" w:rsidR="005413DE" w:rsidRPr="00FF6FEA" w:rsidRDefault="005413DE" w:rsidP="008428D7">
      <w:pPr>
        <w:pStyle w:val="Default"/>
        <w:spacing w:line="288" w:lineRule="auto"/>
        <w:jc w:val="both"/>
        <w:rPr>
          <w:rFonts w:asciiTheme="minorHAnsi" w:hAnsiTheme="minorHAnsi" w:cstheme="minorHAnsi"/>
          <w:sz w:val="22"/>
          <w:szCs w:val="22"/>
        </w:rPr>
      </w:pPr>
    </w:p>
    <w:p w14:paraId="1D921D5E" w14:textId="06BED468" w:rsidR="008D2893" w:rsidRPr="00FF6FEA" w:rsidRDefault="008D2893"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A szolgáltatásminőség, beleértve az üzemeltetés és karbantartás feltételei</w:t>
      </w:r>
    </w:p>
    <w:p w14:paraId="097D6728" w14:textId="77777777" w:rsidR="008D2893" w:rsidRPr="00FF6FEA" w:rsidRDefault="008D2893"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Felek vállalják, hogy az összekapcsoláshoz mindenkor megfelelő kapacitású összeköttetéseket vesznek igénybe. A megfelelőség kritériuma egyrészt a torlódásmentes forgalomtovábbítás megvalósításához elegendően nagy kapacitás késedelem nélküli és megállapodott minőségben történő rendelkezésre állása, másrészről a végződtető hálózat összekapcsolási pontjain a feleslegesen sok port lekötésének elkerülése. </w:t>
      </w:r>
    </w:p>
    <w:p w14:paraId="2AEB325D" w14:textId="006AA4E2" w:rsidR="00C058AF" w:rsidRPr="00FF6FEA" w:rsidRDefault="008760FB"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 </w:t>
      </w:r>
      <w:r w:rsidR="00C058AF" w:rsidRPr="00FF6FEA">
        <w:rPr>
          <w:rFonts w:asciiTheme="minorHAnsi" w:hAnsiTheme="minorHAnsi" w:cstheme="minorHAnsi"/>
          <w:sz w:val="22"/>
          <w:szCs w:val="22"/>
        </w:rPr>
        <w:t xml:space="preserve">Telenor Magyarország felajánlott betelepülési telephelyein az ajánlattevő partner berendezéseinek elhelyezése a rendelkezésre álló eszköz és </w:t>
      </w:r>
      <w:proofErr w:type="spellStart"/>
      <w:r w:rsidR="003A52E1" w:rsidRPr="00FF6FEA">
        <w:rPr>
          <w:rFonts w:asciiTheme="minorHAnsi" w:hAnsiTheme="minorHAnsi" w:cstheme="minorHAnsi"/>
          <w:sz w:val="22"/>
          <w:szCs w:val="22"/>
        </w:rPr>
        <w:t>cabinet</w:t>
      </w:r>
      <w:proofErr w:type="spellEnd"/>
      <w:r w:rsidR="00C058AF" w:rsidRPr="00FF6FEA">
        <w:rPr>
          <w:rFonts w:asciiTheme="minorHAnsi" w:hAnsiTheme="minorHAnsi" w:cstheme="minorHAnsi"/>
          <w:sz w:val="22"/>
          <w:szCs w:val="22"/>
        </w:rPr>
        <w:t xml:space="preserve"> kapacitás függvénye. Amennyiben, az igényelt telephelyen kapacitás hiányában</w:t>
      </w:r>
      <w:r w:rsidRPr="00FF6FEA">
        <w:rPr>
          <w:rFonts w:asciiTheme="minorHAnsi" w:hAnsiTheme="minorHAnsi" w:cstheme="minorHAnsi"/>
          <w:sz w:val="22"/>
          <w:szCs w:val="22"/>
        </w:rPr>
        <w:t xml:space="preserve"> további </w:t>
      </w:r>
      <w:r w:rsidR="00C058AF" w:rsidRPr="00FF6FEA">
        <w:rPr>
          <w:rFonts w:asciiTheme="minorHAnsi" w:hAnsiTheme="minorHAnsi" w:cstheme="minorHAnsi"/>
          <w:sz w:val="22"/>
          <w:szCs w:val="22"/>
        </w:rPr>
        <w:t>betelepülés nem lehetséges, a partnerrel történt egyeztetést követően</w:t>
      </w:r>
      <w:r w:rsidRPr="00FF6FEA">
        <w:rPr>
          <w:rFonts w:asciiTheme="minorHAnsi" w:hAnsiTheme="minorHAnsi" w:cstheme="minorHAnsi"/>
          <w:sz w:val="22"/>
          <w:szCs w:val="22"/>
        </w:rPr>
        <w:t xml:space="preserve"> a Telenor</w:t>
      </w:r>
      <w:r w:rsidR="00C058AF" w:rsidRPr="00FF6FEA">
        <w:rPr>
          <w:rFonts w:asciiTheme="minorHAnsi" w:hAnsiTheme="minorHAnsi" w:cstheme="minorHAnsi"/>
          <w:sz w:val="22"/>
          <w:szCs w:val="22"/>
        </w:rPr>
        <w:t xml:space="preserve"> </w:t>
      </w:r>
      <w:r w:rsidR="003A52E1" w:rsidRPr="00FF6FEA">
        <w:rPr>
          <w:rFonts w:asciiTheme="minorHAnsi" w:hAnsiTheme="minorHAnsi" w:cstheme="minorHAnsi"/>
          <w:sz w:val="22"/>
          <w:szCs w:val="22"/>
        </w:rPr>
        <w:t xml:space="preserve">Magyarország </w:t>
      </w:r>
      <w:r w:rsidR="00C058AF" w:rsidRPr="00FF6FEA">
        <w:rPr>
          <w:rFonts w:asciiTheme="minorHAnsi" w:hAnsiTheme="minorHAnsi" w:cstheme="minorHAnsi"/>
          <w:sz w:val="22"/>
          <w:szCs w:val="22"/>
        </w:rPr>
        <w:t>felajánlhat egy másik, alkalmas telephelyet a betelepüléshez.</w:t>
      </w:r>
    </w:p>
    <w:p w14:paraId="1BF7E28B" w14:textId="25BC1154" w:rsidR="008D2893" w:rsidRPr="00FF6FEA" w:rsidRDefault="003A52E1"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 </w:t>
      </w:r>
      <w:r w:rsidR="008D2893" w:rsidRPr="00FF6FEA">
        <w:rPr>
          <w:rFonts w:asciiTheme="minorHAnsi" w:hAnsiTheme="minorHAnsi" w:cstheme="minorHAnsi"/>
          <w:sz w:val="22"/>
          <w:szCs w:val="22"/>
        </w:rPr>
        <w:t>Telenor Magyarország garantálja, hogy az átvett forgalmat ugyanolyan minőségi paraméterekkel kezeli, mint saját előfizetői vagy bármely más üzleti partnere forgalmát.</w:t>
      </w:r>
    </w:p>
    <w:p w14:paraId="0FBAB049" w14:textId="68749FB2" w:rsidR="008D2893" w:rsidRPr="00FF6FEA" w:rsidRDefault="00344051"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lastRenderedPageBreak/>
        <w:t xml:space="preserve">A </w:t>
      </w:r>
      <w:r w:rsidR="008D2893" w:rsidRPr="00FF6FEA">
        <w:rPr>
          <w:rFonts w:asciiTheme="minorHAnsi" w:hAnsiTheme="minorHAnsi" w:cstheme="minorHAnsi"/>
          <w:sz w:val="22"/>
          <w:szCs w:val="22"/>
        </w:rPr>
        <w:t>Telenor Magyarország nyilatkozik, hogy hálózata minőségi jellemzőire a Koncessziós Szerződésében, illetve az általános szerződési feltételeiben (vállalkozási feltételekben) meghatározott kötelezettségek irányadók.</w:t>
      </w:r>
    </w:p>
    <w:p w14:paraId="546198AF" w14:textId="77777777" w:rsidR="00344051" w:rsidRPr="00FF6FEA" w:rsidRDefault="00344051"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 </w:t>
      </w:r>
      <w:r w:rsidR="008D2893" w:rsidRPr="00FF6FEA">
        <w:rPr>
          <w:rFonts w:asciiTheme="minorHAnsi" w:hAnsiTheme="minorHAnsi" w:cstheme="minorHAnsi"/>
          <w:sz w:val="22"/>
          <w:szCs w:val="22"/>
        </w:rPr>
        <w:t>Felek kötelesek felügyelni és karbantartani az általuk telepített berendezéseket.</w:t>
      </w:r>
    </w:p>
    <w:p w14:paraId="0809A66E" w14:textId="3F2B5681" w:rsidR="008D2893" w:rsidRPr="00FF6FEA" w:rsidRDefault="00344051"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 </w:t>
      </w:r>
      <w:r w:rsidR="008D2893" w:rsidRPr="00FF6FEA">
        <w:rPr>
          <w:rFonts w:asciiTheme="minorHAnsi" w:hAnsiTheme="minorHAnsi" w:cstheme="minorHAnsi"/>
          <w:sz w:val="22"/>
          <w:szCs w:val="22"/>
        </w:rPr>
        <w:t xml:space="preserve">Felek szavatolják hálózataik rendeltetésszerű használatára való alkalmasságát, valamint folyamatosan biztosítják a Koncessziós Szerződéseikben vagy Szolgáltatási engedélyükben vállalt minőségi előírásokat. </w:t>
      </w:r>
      <w:r w:rsidR="000E37CD" w:rsidRPr="00FF6FEA">
        <w:rPr>
          <w:rFonts w:asciiTheme="minorHAnsi" w:hAnsiTheme="minorHAnsi" w:cstheme="minorHAnsi"/>
          <w:sz w:val="22"/>
          <w:szCs w:val="22"/>
        </w:rPr>
        <w:t>A további feltételek az összekapcsolási egyeztetések során kerülnek véglegesítésre.</w:t>
      </w:r>
    </w:p>
    <w:p w14:paraId="75428F7E" w14:textId="536C88D6" w:rsidR="006109DD" w:rsidRPr="00FF6FEA" w:rsidRDefault="006109DD"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Az összekapcsolási nyalábok méretezése az </w:t>
      </w:r>
      <w:proofErr w:type="spellStart"/>
      <w:r w:rsidRPr="00FF6FEA">
        <w:rPr>
          <w:rFonts w:asciiTheme="minorHAnsi" w:hAnsiTheme="minorHAnsi" w:cstheme="minorHAnsi"/>
          <w:sz w:val="22"/>
          <w:szCs w:val="22"/>
        </w:rPr>
        <w:t>Erlang</w:t>
      </w:r>
      <w:proofErr w:type="spellEnd"/>
      <w:r w:rsidRPr="00FF6FEA">
        <w:rPr>
          <w:rFonts w:asciiTheme="minorHAnsi" w:hAnsiTheme="minorHAnsi" w:cstheme="minorHAnsi"/>
          <w:sz w:val="22"/>
          <w:szCs w:val="22"/>
        </w:rPr>
        <w:t xml:space="preserve"> formula 1%-os </w:t>
      </w:r>
      <w:proofErr w:type="spellStart"/>
      <w:r w:rsidRPr="00FF6FEA">
        <w:rPr>
          <w:rFonts w:asciiTheme="minorHAnsi" w:hAnsiTheme="minorHAnsi" w:cstheme="minorHAnsi"/>
          <w:sz w:val="22"/>
          <w:szCs w:val="22"/>
        </w:rPr>
        <w:t>GoS</w:t>
      </w:r>
      <w:proofErr w:type="spellEnd"/>
      <w:r w:rsidRPr="00FF6FEA">
        <w:rPr>
          <w:rFonts w:asciiTheme="minorHAnsi" w:hAnsiTheme="minorHAnsi" w:cstheme="minorHAnsi"/>
          <w:sz w:val="22"/>
          <w:szCs w:val="22"/>
        </w:rPr>
        <w:t xml:space="preserve"> figyelembevételével történik.</w:t>
      </w:r>
    </w:p>
    <w:p w14:paraId="1587C432" w14:textId="77777777" w:rsidR="008D2893" w:rsidRPr="00FF6FEA" w:rsidRDefault="008D2893"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 Felek kapcsolóközpontjainak garantált rendelkezésre állása éves szinten legalább: 99,95%. </w:t>
      </w:r>
    </w:p>
    <w:p w14:paraId="147E698A" w14:textId="77777777" w:rsidR="008D2893" w:rsidRPr="00FF6FEA" w:rsidRDefault="008D2893" w:rsidP="00344051">
      <w:pPr>
        <w:pStyle w:val="Default"/>
        <w:numPr>
          <w:ilvl w:val="0"/>
          <w:numId w:val="24"/>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A Felek hálózatai közötti csatlakozó nyalábok rendelkezésre állása le</w:t>
      </w:r>
      <w:r w:rsidR="004807C7" w:rsidRPr="00FF6FEA">
        <w:rPr>
          <w:rFonts w:asciiTheme="minorHAnsi" w:hAnsiTheme="minorHAnsi" w:cstheme="minorHAnsi"/>
          <w:sz w:val="22"/>
          <w:szCs w:val="22"/>
        </w:rPr>
        <w:t>galább 99,9</w:t>
      </w:r>
      <w:r w:rsidR="005413DE" w:rsidRPr="00FF6FEA">
        <w:rPr>
          <w:rFonts w:asciiTheme="minorHAnsi" w:hAnsiTheme="minorHAnsi" w:cstheme="minorHAnsi"/>
          <w:sz w:val="22"/>
          <w:szCs w:val="22"/>
        </w:rPr>
        <w:t>% kell, hogy legyen.</w:t>
      </w:r>
    </w:p>
    <w:p w14:paraId="50A38F86" w14:textId="77777777" w:rsidR="005413DE" w:rsidRPr="00FF6FEA" w:rsidRDefault="005413DE" w:rsidP="004807C7">
      <w:pPr>
        <w:pStyle w:val="Default"/>
        <w:spacing w:line="288" w:lineRule="auto"/>
        <w:jc w:val="both"/>
        <w:rPr>
          <w:rFonts w:asciiTheme="minorHAnsi" w:hAnsiTheme="minorHAnsi" w:cstheme="minorHAnsi"/>
          <w:sz w:val="22"/>
          <w:szCs w:val="22"/>
        </w:rPr>
      </w:pPr>
    </w:p>
    <w:p w14:paraId="2DC5F0F5" w14:textId="35309DF0" w:rsidR="008D2893" w:rsidRPr="00FF6FEA" w:rsidRDefault="008D2893"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 xml:space="preserve">Az összekapcsolási interfészek </w:t>
      </w:r>
    </w:p>
    <w:p w14:paraId="1DB9A259" w14:textId="77777777" w:rsidR="008D2893" w:rsidRPr="00FF6FEA" w:rsidRDefault="008D2893" w:rsidP="005413DE">
      <w:pPr>
        <w:pStyle w:val="Default"/>
        <w:spacing w:line="288" w:lineRule="auto"/>
        <w:ind w:left="284"/>
        <w:jc w:val="both"/>
        <w:rPr>
          <w:rFonts w:asciiTheme="minorHAnsi" w:hAnsiTheme="minorHAnsi" w:cstheme="minorHAnsi"/>
          <w:sz w:val="22"/>
          <w:szCs w:val="22"/>
        </w:rPr>
      </w:pPr>
      <w:r w:rsidRPr="00FF6FEA">
        <w:rPr>
          <w:rFonts w:asciiTheme="minorHAnsi" w:hAnsiTheme="minorHAnsi" w:cstheme="minorHAnsi"/>
          <w:sz w:val="22"/>
          <w:szCs w:val="22"/>
        </w:rPr>
        <w:t>Telenor Magyarország kapcsolóközpont oldali interfészei, illetve Szolgáltató központjának interfészei az alábbi hazai és nemzetközi szabványoknak, ajánlás</w:t>
      </w:r>
      <w:r w:rsidR="005413DE" w:rsidRPr="00FF6FEA">
        <w:rPr>
          <w:rFonts w:asciiTheme="minorHAnsi" w:hAnsiTheme="minorHAnsi" w:cstheme="minorHAnsi"/>
          <w:sz w:val="22"/>
          <w:szCs w:val="22"/>
        </w:rPr>
        <w:t>oknak kell, hogy megfeleljenek:</w:t>
      </w:r>
    </w:p>
    <w:p w14:paraId="759604C6" w14:textId="77777777" w:rsidR="005413DE" w:rsidRPr="00FF6FEA" w:rsidRDefault="005413DE" w:rsidP="005413DE">
      <w:pPr>
        <w:pStyle w:val="Default"/>
        <w:spacing w:line="288" w:lineRule="auto"/>
        <w:ind w:left="284"/>
        <w:jc w:val="both"/>
        <w:rPr>
          <w:rFonts w:asciiTheme="minorHAnsi" w:hAnsiTheme="minorHAnsi" w:cstheme="minorHAnsi"/>
          <w:b/>
          <w:sz w:val="22"/>
          <w:szCs w:val="22"/>
        </w:rPr>
      </w:pPr>
      <w:r w:rsidRPr="00FF6FEA">
        <w:rPr>
          <w:rFonts w:asciiTheme="minorHAnsi" w:hAnsiTheme="minorHAnsi" w:cstheme="minorHAnsi"/>
          <w:b/>
          <w:sz w:val="22"/>
          <w:szCs w:val="22"/>
        </w:rPr>
        <w:t>TDM összeköttetés esetén:</w:t>
      </w:r>
    </w:p>
    <w:p w14:paraId="174214F8"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Réteg Interfész-szabvány, specifikáció </w:t>
      </w:r>
    </w:p>
    <w:p w14:paraId="5D2B3D71"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Fizikai réteg ITU-T No.7 MTP1 - G.703 </w:t>
      </w:r>
    </w:p>
    <w:p w14:paraId="5EE0FF9A"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Adatkapcsolati és hálózati réteg ITU-T No.7 MTP2-3 </w:t>
      </w:r>
    </w:p>
    <w:p w14:paraId="78BA91D5"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 xml:space="preserve">Felsőbb rétegek ITU-T No.7 ISUPv2 v. v3 </w:t>
      </w:r>
    </w:p>
    <w:p w14:paraId="58056A29" w14:textId="77777777" w:rsidR="005413DE" w:rsidRPr="00FF6FEA" w:rsidRDefault="005413DE" w:rsidP="005413DE">
      <w:pPr>
        <w:pStyle w:val="Default"/>
        <w:spacing w:line="288" w:lineRule="auto"/>
        <w:ind w:left="284"/>
        <w:jc w:val="both"/>
        <w:rPr>
          <w:rFonts w:asciiTheme="minorHAnsi" w:hAnsiTheme="minorHAnsi" w:cstheme="minorHAnsi"/>
          <w:b/>
          <w:sz w:val="22"/>
          <w:szCs w:val="22"/>
        </w:rPr>
      </w:pPr>
      <w:r w:rsidRPr="00FF6FEA">
        <w:rPr>
          <w:rFonts w:asciiTheme="minorHAnsi" w:hAnsiTheme="minorHAnsi" w:cstheme="minorHAnsi"/>
          <w:b/>
          <w:sz w:val="22"/>
          <w:szCs w:val="22"/>
        </w:rPr>
        <w:t>IP összeköttetés esetén:</w:t>
      </w:r>
    </w:p>
    <w:p w14:paraId="62C67A5D" w14:textId="77777777" w:rsidR="00C66A37" w:rsidRPr="00FF6FEA" w:rsidRDefault="00C66A37"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AZ INTERFÉSZ ÉS A SZOLGÁLTATÁS MEGNEVEZÉSE:</w:t>
      </w:r>
      <w:r w:rsidR="00800CFA" w:rsidRPr="00FF6FEA">
        <w:rPr>
          <w:rFonts w:asciiTheme="minorHAnsi" w:hAnsiTheme="minorHAnsi" w:cstheme="minorHAnsi"/>
          <w:sz w:val="22"/>
          <w:szCs w:val="22"/>
        </w:rPr>
        <w:t xml:space="preserve"> </w:t>
      </w:r>
      <w:r w:rsidRPr="00FF6FEA">
        <w:rPr>
          <w:rFonts w:asciiTheme="minorHAnsi" w:hAnsiTheme="minorHAnsi" w:cstheme="minorHAnsi"/>
          <w:sz w:val="22"/>
          <w:szCs w:val="22"/>
        </w:rPr>
        <w:t>Mobil rádiótelefon hálózat, IP alapú összekapcsolás hálózati interfésze</w:t>
      </w:r>
    </w:p>
    <w:p w14:paraId="735128F5" w14:textId="77777777" w:rsidR="00C66A37" w:rsidRPr="00FF6FEA" w:rsidRDefault="00C66A37"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HOZZÁFÉRÉSI PONT:</w:t>
      </w:r>
      <w:r w:rsidR="00800CFA" w:rsidRPr="00FF6FEA">
        <w:rPr>
          <w:rFonts w:asciiTheme="minorHAnsi" w:hAnsiTheme="minorHAnsi" w:cstheme="minorHAnsi"/>
          <w:sz w:val="22"/>
          <w:szCs w:val="22"/>
        </w:rPr>
        <w:t xml:space="preserve"> </w:t>
      </w:r>
      <w:r w:rsidRPr="00FF6FEA">
        <w:rPr>
          <w:rFonts w:asciiTheme="minorHAnsi" w:hAnsiTheme="minorHAnsi" w:cstheme="minorHAnsi"/>
          <w:sz w:val="22"/>
          <w:szCs w:val="22"/>
        </w:rPr>
        <w:t>Fizikai kapcsolat megvalósulása:</w:t>
      </w:r>
      <w:r w:rsidR="005413DE" w:rsidRPr="00FF6FEA">
        <w:rPr>
          <w:rFonts w:asciiTheme="minorHAnsi" w:hAnsiTheme="minorHAnsi" w:cstheme="minorHAnsi"/>
          <w:sz w:val="22"/>
          <w:szCs w:val="22"/>
        </w:rPr>
        <w:t xml:space="preserve"> </w:t>
      </w:r>
      <w:r w:rsidRPr="00FF6FEA">
        <w:rPr>
          <w:rFonts w:asciiTheme="minorHAnsi" w:hAnsiTheme="minorHAnsi" w:cstheme="minorHAnsi"/>
          <w:sz w:val="22"/>
          <w:szCs w:val="22"/>
        </w:rPr>
        <w:t>A megadott Telenor Magyarország összekapcsolási pont digitális rendezőjében meghatározott hozzáférési pontján.</w:t>
      </w:r>
    </w:p>
    <w:p w14:paraId="0B9D43C8" w14:textId="77777777" w:rsidR="00C66A37" w:rsidRPr="00FF6FEA" w:rsidRDefault="00C66A37"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KAPCSOLATI JELLEMZŐK:</w:t>
      </w:r>
      <w:r w:rsidR="00800CFA" w:rsidRPr="00FF6FEA">
        <w:rPr>
          <w:rFonts w:asciiTheme="minorHAnsi" w:hAnsiTheme="minorHAnsi" w:cstheme="minorHAnsi"/>
          <w:sz w:val="22"/>
          <w:szCs w:val="22"/>
        </w:rPr>
        <w:t xml:space="preserve"> </w:t>
      </w:r>
      <w:r w:rsidR="005413DE" w:rsidRPr="00FF6FEA">
        <w:rPr>
          <w:rFonts w:asciiTheme="minorHAnsi" w:hAnsiTheme="minorHAnsi" w:cstheme="minorHAnsi"/>
          <w:sz w:val="22"/>
          <w:szCs w:val="22"/>
        </w:rPr>
        <w:t>Vagy 1</w:t>
      </w:r>
      <w:r w:rsidRPr="00FF6FEA">
        <w:rPr>
          <w:rFonts w:asciiTheme="minorHAnsi" w:hAnsiTheme="minorHAnsi" w:cstheme="minorHAnsi"/>
          <w:sz w:val="22"/>
          <w:szCs w:val="22"/>
        </w:rPr>
        <w:t xml:space="preserve">Ge </w:t>
      </w:r>
      <w:r w:rsidR="005413DE" w:rsidRPr="00FF6FEA">
        <w:rPr>
          <w:rFonts w:asciiTheme="minorHAnsi" w:hAnsiTheme="minorHAnsi" w:cstheme="minorHAnsi"/>
          <w:sz w:val="22"/>
          <w:szCs w:val="22"/>
        </w:rPr>
        <w:t xml:space="preserve">vagy 10Ge </w:t>
      </w:r>
      <w:r w:rsidRPr="00FF6FEA">
        <w:rPr>
          <w:rFonts w:asciiTheme="minorHAnsi" w:hAnsiTheme="minorHAnsi" w:cstheme="minorHAnsi"/>
          <w:sz w:val="22"/>
          <w:szCs w:val="22"/>
        </w:rPr>
        <w:t>optikai csatlakozáson valósul meg.</w:t>
      </w:r>
    </w:p>
    <w:p w14:paraId="0CE24E8E" w14:textId="1BA152BE" w:rsidR="00CE3C22" w:rsidRPr="00FF6FEA" w:rsidRDefault="00C66A37" w:rsidP="00344051">
      <w:pPr>
        <w:pStyle w:val="Default"/>
        <w:numPr>
          <w:ilvl w:val="0"/>
          <w:numId w:val="10"/>
        </w:numPr>
        <w:spacing w:line="288" w:lineRule="auto"/>
        <w:ind w:left="709" w:hanging="283"/>
        <w:jc w:val="both"/>
        <w:rPr>
          <w:rFonts w:asciiTheme="minorHAnsi" w:hAnsiTheme="minorHAnsi" w:cstheme="minorHAnsi"/>
          <w:sz w:val="22"/>
          <w:szCs w:val="22"/>
        </w:rPr>
      </w:pPr>
      <w:r w:rsidRPr="00FF6FEA">
        <w:rPr>
          <w:rFonts w:asciiTheme="minorHAnsi" w:hAnsiTheme="minorHAnsi" w:cstheme="minorHAnsi"/>
          <w:sz w:val="22"/>
          <w:szCs w:val="22"/>
        </w:rPr>
        <w:t>JELZÉSRENDSZER:</w:t>
      </w:r>
      <w:r w:rsidR="00800CFA" w:rsidRPr="00FF6FEA">
        <w:rPr>
          <w:rFonts w:asciiTheme="minorHAnsi" w:hAnsiTheme="minorHAnsi" w:cstheme="minorHAnsi"/>
          <w:sz w:val="22"/>
          <w:szCs w:val="22"/>
        </w:rPr>
        <w:t xml:space="preserve"> SI</w:t>
      </w:r>
      <w:r w:rsidR="005413DE" w:rsidRPr="00FF6FEA">
        <w:rPr>
          <w:rFonts w:asciiTheme="minorHAnsi" w:hAnsiTheme="minorHAnsi" w:cstheme="minorHAnsi"/>
          <w:sz w:val="22"/>
          <w:szCs w:val="22"/>
        </w:rPr>
        <w:t>P</w:t>
      </w:r>
      <w:r w:rsidR="00800CFA" w:rsidRPr="00FF6FEA">
        <w:rPr>
          <w:rFonts w:asciiTheme="minorHAnsi" w:hAnsiTheme="minorHAnsi" w:cstheme="minorHAnsi"/>
          <w:sz w:val="22"/>
          <w:szCs w:val="22"/>
        </w:rPr>
        <w:t xml:space="preserve">. </w:t>
      </w:r>
      <w:r w:rsidRPr="00FF6FEA">
        <w:rPr>
          <w:rFonts w:asciiTheme="minorHAnsi" w:hAnsiTheme="minorHAnsi" w:cstheme="minorHAnsi"/>
          <w:sz w:val="22"/>
          <w:szCs w:val="22"/>
        </w:rPr>
        <w:t xml:space="preserve">IP alapú összekapcsolás esetén a jelzésprotokoll SIP </w:t>
      </w:r>
      <w:r w:rsidR="00575020" w:rsidRPr="00FF6FEA">
        <w:rPr>
          <w:rFonts w:asciiTheme="minorHAnsi" w:hAnsiTheme="minorHAnsi" w:cstheme="minorHAnsi"/>
          <w:sz w:val="22"/>
          <w:szCs w:val="22"/>
        </w:rPr>
        <w:t xml:space="preserve">RFC </w:t>
      </w:r>
      <w:r w:rsidRPr="00FF6FEA">
        <w:rPr>
          <w:rFonts w:asciiTheme="minorHAnsi" w:hAnsiTheme="minorHAnsi" w:cstheme="minorHAnsi"/>
          <w:sz w:val="22"/>
          <w:szCs w:val="22"/>
        </w:rPr>
        <w:t xml:space="preserve">3261 szabvány szerint kerül alkalmazásra. Az optikai </w:t>
      </w:r>
      <w:r w:rsidR="00CE3C22" w:rsidRPr="00FF6FEA">
        <w:rPr>
          <w:rFonts w:asciiTheme="minorHAnsi" w:hAnsiTheme="minorHAnsi" w:cstheme="minorHAnsi"/>
          <w:sz w:val="22"/>
          <w:szCs w:val="22"/>
        </w:rPr>
        <w:t>E</w:t>
      </w:r>
      <w:r w:rsidRPr="00FF6FEA">
        <w:rPr>
          <w:rFonts w:asciiTheme="minorHAnsi" w:hAnsiTheme="minorHAnsi" w:cstheme="minorHAnsi"/>
          <w:sz w:val="22"/>
          <w:szCs w:val="22"/>
        </w:rPr>
        <w:t>thernet interfész követelményeit az </w:t>
      </w:r>
      <w:hyperlink r:id="rId7" w:tgtFrame="_blank" w:history="1">
        <w:r w:rsidR="00575020" w:rsidRPr="00FF6FEA">
          <w:rPr>
            <w:rFonts w:asciiTheme="minorHAnsi" w:hAnsiTheme="minorHAnsi" w:cstheme="minorHAnsi"/>
            <w:sz w:val="22"/>
            <w:szCs w:val="22"/>
          </w:rPr>
          <w:t>RFC 894</w:t>
        </w:r>
      </w:hyperlink>
      <w:r w:rsidRPr="00FF6FEA">
        <w:rPr>
          <w:rFonts w:asciiTheme="minorHAnsi" w:hAnsiTheme="minorHAnsi" w:cstheme="minorHAnsi"/>
          <w:sz w:val="22"/>
          <w:szCs w:val="22"/>
        </w:rPr>
        <w:t> és az </w:t>
      </w:r>
      <w:hyperlink r:id="rId8" w:tgtFrame="_blank" w:history="1">
        <w:r w:rsidR="00575020" w:rsidRPr="00FF6FEA">
          <w:rPr>
            <w:rFonts w:asciiTheme="minorHAnsi" w:hAnsiTheme="minorHAnsi" w:cstheme="minorHAnsi"/>
            <w:sz w:val="22"/>
            <w:szCs w:val="22"/>
          </w:rPr>
          <w:t>RFC 791</w:t>
        </w:r>
      </w:hyperlink>
      <w:r w:rsidRPr="00FF6FEA">
        <w:rPr>
          <w:rFonts w:asciiTheme="minorHAnsi" w:hAnsiTheme="minorHAnsi" w:cstheme="minorHAnsi"/>
          <w:sz w:val="22"/>
          <w:szCs w:val="22"/>
        </w:rPr>
        <w:t> tartalmazza.</w:t>
      </w:r>
      <w:r w:rsidR="006109DD" w:rsidRPr="00FF6FEA">
        <w:rPr>
          <w:rFonts w:asciiTheme="minorHAnsi" w:hAnsiTheme="minorHAnsi" w:cstheme="minorHAnsi"/>
          <w:sz w:val="22"/>
          <w:szCs w:val="22"/>
        </w:rPr>
        <w:t xml:space="preserve"> Jelzésrendszer első kialakításával minimálisan 2 jelzésáramkör kerül kiépítésre, melynek kihasználtsága folyamatosan felügyelt.</w:t>
      </w:r>
    </w:p>
    <w:p w14:paraId="16EFF23B" w14:textId="77777777" w:rsidR="00344051" w:rsidRPr="00FF6FEA" w:rsidRDefault="00344051" w:rsidP="00344051">
      <w:pPr>
        <w:pStyle w:val="Default"/>
        <w:spacing w:line="288" w:lineRule="auto"/>
        <w:jc w:val="both"/>
        <w:rPr>
          <w:rFonts w:asciiTheme="minorHAnsi" w:hAnsiTheme="minorHAnsi" w:cstheme="minorHAnsi"/>
          <w:sz w:val="22"/>
          <w:szCs w:val="22"/>
        </w:rPr>
      </w:pPr>
    </w:p>
    <w:p w14:paraId="477EFC01" w14:textId="0E2C858C" w:rsidR="00047B54" w:rsidRPr="00FF6FEA" w:rsidRDefault="00047B54" w:rsidP="00344051">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Nyalábméret</w:t>
      </w:r>
    </w:p>
    <w:p w14:paraId="43BE565D" w14:textId="0330E0F5" w:rsidR="00C66A37" w:rsidRPr="00FF6FEA" w:rsidRDefault="00047B54" w:rsidP="005B4184">
      <w:pPr>
        <w:pStyle w:val="Default"/>
        <w:spacing w:line="288" w:lineRule="auto"/>
        <w:ind w:left="360"/>
        <w:jc w:val="both"/>
        <w:rPr>
          <w:rFonts w:asciiTheme="minorHAnsi" w:hAnsiTheme="minorHAnsi" w:cstheme="minorHAnsi"/>
          <w:sz w:val="22"/>
          <w:szCs w:val="22"/>
        </w:rPr>
      </w:pPr>
      <w:r w:rsidRPr="00FF6FEA">
        <w:rPr>
          <w:rFonts w:asciiTheme="minorHAnsi" w:hAnsiTheme="minorHAnsi" w:cstheme="minorHAnsi"/>
          <w:sz w:val="22"/>
          <w:szCs w:val="22"/>
        </w:rPr>
        <w:t xml:space="preserve">Amennyiben, a korábban kialakított nyalábméreteken a </w:t>
      </w:r>
      <w:r w:rsidR="00CE3C22" w:rsidRPr="00FF6FEA">
        <w:rPr>
          <w:rFonts w:asciiTheme="minorHAnsi" w:hAnsiTheme="minorHAnsi" w:cstheme="minorHAnsi"/>
          <w:sz w:val="22"/>
          <w:szCs w:val="22"/>
        </w:rPr>
        <w:t>három</w:t>
      </w:r>
      <w:r w:rsidRPr="00FF6FEA">
        <w:rPr>
          <w:rFonts w:asciiTheme="minorHAnsi" w:hAnsiTheme="minorHAnsi" w:cstheme="minorHAnsi"/>
          <w:sz w:val="22"/>
          <w:szCs w:val="22"/>
        </w:rPr>
        <w:t xml:space="preserve"> egymást követő </w:t>
      </w:r>
      <w:r w:rsidR="00CE3C22" w:rsidRPr="00FF6FEA">
        <w:rPr>
          <w:rFonts w:asciiTheme="minorHAnsi" w:hAnsiTheme="minorHAnsi" w:cstheme="minorHAnsi"/>
          <w:sz w:val="22"/>
          <w:szCs w:val="22"/>
        </w:rPr>
        <w:t>három</w:t>
      </w:r>
      <w:r w:rsidRPr="00FF6FEA">
        <w:rPr>
          <w:rFonts w:asciiTheme="minorHAnsi" w:hAnsiTheme="minorHAnsi" w:cstheme="minorHAnsi"/>
          <w:sz w:val="22"/>
          <w:szCs w:val="22"/>
        </w:rPr>
        <w:t xml:space="preserve"> hónapos periódus alatt a kihasználtság 80% alá esik, a partner értesítését követően a Telenor Magyarország megszűntetheti a felesleges/kihasználatlan nyalábokat oly módon, hogy a torlódás minimális százalékon legyen. Abban az esetben, ha a forgalom mennyisége ismét eléri a 80%-ot, akkor a forgalmat átadó partner kezdeményezheti a bővítést. </w:t>
      </w:r>
      <w:r w:rsidR="006109DD" w:rsidRPr="00FF6FEA">
        <w:rPr>
          <w:rFonts w:asciiTheme="minorHAnsi" w:hAnsiTheme="minorHAnsi" w:cstheme="minorHAnsi"/>
          <w:sz w:val="22"/>
          <w:szCs w:val="22"/>
        </w:rPr>
        <w:t>A bővítés beütemezési ideje alatt tapasztalt torlódásokért a végződtető partner nem felelős.</w:t>
      </w:r>
    </w:p>
    <w:p w14:paraId="0532D74C" w14:textId="77777777" w:rsidR="005B4184" w:rsidRPr="00FF6FEA" w:rsidRDefault="005B4184" w:rsidP="005B4184">
      <w:pPr>
        <w:pStyle w:val="Default"/>
        <w:spacing w:line="288" w:lineRule="auto"/>
        <w:jc w:val="both"/>
        <w:rPr>
          <w:rFonts w:asciiTheme="minorHAnsi" w:hAnsiTheme="minorHAnsi" w:cstheme="minorHAnsi"/>
          <w:sz w:val="22"/>
          <w:szCs w:val="22"/>
        </w:rPr>
      </w:pPr>
    </w:p>
    <w:p w14:paraId="78040DEA" w14:textId="7CA4C383" w:rsidR="008D2893" w:rsidRPr="00FF6FEA" w:rsidRDefault="008D2893"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A támogató (kezelői, segélykérő) szolgálta</w:t>
      </w:r>
      <w:r w:rsidR="00756A60" w:rsidRPr="00FF6FEA">
        <w:rPr>
          <w:rFonts w:asciiTheme="minorHAnsi" w:hAnsiTheme="minorHAnsi" w:cstheme="minorHAnsi"/>
          <w:b/>
          <w:bCs/>
          <w:i/>
          <w:iCs/>
          <w:sz w:val="22"/>
          <w:szCs w:val="22"/>
        </w:rPr>
        <w:t>tások</w:t>
      </w:r>
    </w:p>
    <w:p w14:paraId="4E96CBEF" w14:textId="77777777" w:rsidR="008D2893" w:rsidRPr="00FF6FEA" w:rsidRDefault="008D2893" w:rsidP="005413DE">
      <w:pPr>
        <w:pStyle w:val="Default"/>
        <w:spacing w:line="288" w:lineRule="auto"/>
        <w:ind w:left="284"/>
        <w:jc w:val="both"/>
        <w:rPr>
          <w:rFonts w:asciiTheme="minorHAnsi" w:hAnsiTheme="minorHAnsi" w:cstheme="minorHAnsi"/>
          <w:sz w:val="22"/>
          <w:szCs w:val="22"/>
        </w:rPr>
      </w:pPr>
      <w:r w:rsidRPr="00FF6FEA">
        <w:rPr>
          <w:rFonts w:asciiTheme="minorHAnsi" w:hAnsiTheme="minorHAnsi" w:cstheme="minorHAnsi"/>
          <w:sz w:val="22"/>
          <w:szCs w:val="22"/>
        </w:rPr>
        <w:t>A Telenor Magyarország a hálózatában kezelői szolgáltatást nem üzemeltet. A segélykérő hívásokat iparági egyesség alapján országos</w:t>
      </w:r>
      <w:r w:rsidR="005413DE" w:rsidRPr="00FF6FEA">
        <w:rPr>
          <w:rFonts w:asciiTheme="minorHAnsi" w:hAnsiTheme="minorHAnsi" w:cstheme="minorHAnsi"/>
          <w:sz w:val="22"/>
          <w:szCs w:val="22"/>
        </w:rPr>
        <w:t>an a Magyar Telekom végződteti.</w:t>
      </w:r>
    </w:p>
    <w:p w14:paraId="0A1A6878" w14:textId="77777777" w:rsidR="00756A60" w:rsidRPr="00FF6FEA" w:rsidRDefault="00756A60" w:rsidP="005413DE">
      <w:pPr>
        <w:pStyle w:val="Default"/>
        <w:spacing w:line="288" w:lineRule="auto"/>
        <w:ind w:left="284"/>
        <w:jc w:val="both"/>
        <w:rPr>
          <w:rFonts w:asciiTheme="minorHAnsi" w:hAnsiTheme="minorHAnsi" w:cstheme="minorHAnsi"/>
          <w:sz w:val="22"/>
          <w:szCs w:val="22"/>
        </w:rPr>
      </w:pPr>
    </w:p>
    <w:p w14:paraId="4BCBB4AC" w14:textId="14133430" w:rsidR="008D2893" w:rsidRPr="00FF6FEA" w:rsidRDefault="008D2893" w:rsidP="00CE3C22">
      <w:pPr>
        <w:pStyle w:val="Default"/>
        <w:numPr>
          <w:ilvl w:val="0"/>
          <w:numId w:val="20"/>
        </w:numPr>
        <w:spacing w:line="288" w:lineRule="auto"/>
        <w:jc w:val="both"/>
        <w:rPr>
          <w:rFonts w:asciiTheme="minorHAnsi" w:hAnsiTheme="minorHAnsi" w:cstheme="minorHAnsi"/>
          <w:b/>
          <w:bCs/>
          <w:i/>
          <w:iCs/>
          <w:sz w:val="22"/>
          <w:szCs w:val="22"/>
        </w:rPr>
      </w:pPr>
      <w:r w:rsidRPr="00FF6FEA">
        <w:rPr>
          <w:rFonts w:asciiTheme="minorHAnsi" w:hAnsiTheme="minorHAnsi" w:cstheme="minorHAnsi"/>
          <w:b/>
          <w:bCs/>
          <w:i/>
          <w:iCs/>
          <w:sz w:val="22"/>
          <w:szCs w:val="22"/>
        </w:rPr>
        <w:t xml:space="preserve">A felek közötti együttműködés szabályai az együttműködési kötelezettség körében </w:t>
      </w:r>
    </w:p>
    <w:p w14:paraId="60DEFEDA" w14:textId="6593C32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lastRenderedPageBreak/>
        <w:t>Együttműködés az előfizetői adatok kezelésében</w:t>
      </w:r>
    </w:p>
    <w:p w14:paraId="65E3DF43" w14:textId="77777777" w:rsidR="008D2893" w:rsidRPr="00FF6FEA" w:rsidRDefault="008D2893" w:rsidP="00344051">
      <w:pPr>
        <w:pStyle w:val="Default"/>
        <w:spacing w:line="288" w:lineRule="auto"/>
        <w:ind w:left="708" w:firstLine="1"/>
        <w:jc w:val="both"/>
        <w:rPr>
          <w:rFonts w:asciiTheme="minorHAnsi" w:hAnsiTheme="minorHAnsi" w:cstheme="minorHAnsi"/>
          <w:sz w:val="22"/>
          <w:szCs w:val="22"/>
        </w:rPr>
      </w:pPr>
      <w:r w:rsidRPr="00FF6FEA">
        <w:rPr>
          <w:rFonts w:asciiTheme="minorHAnsi" w:hAnsiTheme="minorHAnsi" w:cstheme="minorHAnsi"/>
          <w:sz w:val="22"/>
          <w:szCs w:val="22"/>
        </w:rPr>
        <w:t>A Felek az előfizetők személyes adatai kezelése során</w:t>
      </w:r>
      <w:r w:rsidR="00783EBB" w:rsidRPr="00FF6FEA">
        <w:rPr>
          <w:rFonts w:asciiTheme="minorHAnsi" w:hAnsiTheme="minorHAnsi" w:cstheme="minorHAnsi"/>
          <w:sz w:val="22"/>
          <w:szCs w:val="22"/>
        </w:rPr>
        <w:t xml:space="preserve"> Általános Adatvédelmi Rendelet (2016/679 EU rendelet), </w:t>
      </w:r>
      <w:r w:rsidRPr="00FF6FEA">
        <w:rPr>
          <w:rFonts w:asciiTheme="minorHAnsi" w:hAnsiTheme="minorHAnsi" w:cstheme="minorHAnsi"/>
          <w:sz w:val="22"/>
          <w:szCs w:val="22"/>
        </w:rPr>
        <w:t xml:space="preserve">az információs önrendelkezési jogról és információszabadságról szóló 2011. évi CXII. törvény és az </w:t>
      </w:r>
      <w:proofErr w:type="spellStart"/>
      <w:r w:rsidRPr="00FF6FEA">
        <w:rPr>
          <w:rFonts w:asciiTheme="minorHAnsi" w:hAnsiTheme="minorHAnsi" w:cstheme="minorHAnsi"/>
          <w:sz w:val="22"/>
          <w:szCs w:val="22"/>
        </w:rPr>
        <w:t>Eht</w:t>
      </w:r>
      <w:proofErr w:type="spellEnd"/>
      <w:r w:rsidRPr="00FF6FEA">
        <w:rPr>
          <w:rFonts w:asciiTheme="minorHAnsi" w:hAnsiTheme="minorHAnsi" w:cstheme="minorHAnsi"/>
          <w:sz w:val="22"/>
          <w:szCs w:val="22"/>
        </w:rPr>
        <w:t>.</w:t>
      </w:r>
      <w:r w:rsidR="00783EBB" w:rsidRPr="00FF6FEA">
        <w:rPr>
          <w:rFonts w:asciiTheme="minorHAnsi" w:hAnsiTheme="minorHAnsi" w:cstheme="minorHAnsi"/>
          <w:sz w:val="22"/>
          <w:szCs w:val="22"/>
        </w:rPr>
        <w:t xml:space="preserve"> </w:t>
      </w:r>
      <w:r w:rsidRPr="00FF6FEA">
        <w:rPr>
          <w:rFonts w:asciiTheme="minorHAnsi" w:hAnsiTheme="minorHAnsi" w:cstheme="minorHAnsi"/>
          <w:sz w:val="22"/>
          <w:szCs w:val="22"/>
        </w:rPr>
        <w:t>hatályos re</w:t>
      </w:r>
      <w:r w:rsidR="00EE5883" w:rsidRPr="00FF6FEA">
        <w:rPr>
          <w:rFonts w:asciiTheme="minorHAnsi" w:hAnsiTheme="minorHAnsi" w:cstheme="minorHAnsi"/>
          <w:sz w:val="22"/>
          <w:szCs w:val="22"/>
        </w:rPr>
        <w:t>ndelkezéseit veszik figyelembe</w:t>
      </w:r>
      <w:r w:rsidR="00783EBB" w:rsidRPr="00FF6FEA">
        <w:rPr>
          <w:rFonts w:asciiTheme="minorHAnsi" w:hAnsiTheme="minorHAnsi" w:cstheme="minorHAnsi"/>
          <w:sz w:val="22"/>
          <w:szCs w:val="22"/>
        </w:rPr>
        <w:t xml:space="preserve"> és annak megfelelően járnak el</w:t>
      </w:r>
      <w:r w:rsidR="00EE5883" w:rsidRPr="00FF6FEA">
        <w:rPr>
          <w:rFonts w:asciiTheme="minorHAnsi" w:hAnsiTheme="minorHAnsi" w:cstheme="minorHAnsi"/>
          <w:sz w:val="22"/>
          <w:szCs w:val="22"/>
        </w:rPr>
        <w:t>.</w:t>
      </w:r>
    </w:p>
    <w:p w14:paraId="798F4A6B" w14:textId="563B6EAE"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Együttműködés a hálózat minőségének megőrzése érdekében</w:t>
      </w:r>
    </w:p>
    <w:p w14:paraId="0926D19A" w14:textId="77777777" w:rsidR="008D2893" w:rsidRPr="00FF6FEA" w:rsidRDefault="008D2893" w:rsidP="00344051">
      <w:pPr>
        <w:pStyle w:val="Default"/>
        <w:spacing w:line="288" w:lineRule="auto"/>
        <w:ind w:left="708"/>
        <w:jc w:val="both"/>
        <w:rPr>
          <w:rFonts w:asciiTheme="minorHAnsi" w:hAnsiTheme="minorHAnsi" w:cstheme="minorHAnsi"/>
          <w:sz w:val="22"/>
          <w:szCs w:val="22"/>
        </w:rPr>
      </w:pPr>
      <w:r w:rsidRPr="00FF6FEA">
        <w:rPr>
          <w:rFonts w:asciiTheme="minorHAnsi" w:hAnsiTheme="minorHAnsi" w:cstheme="minorHAnsi"/>
          <w:sz w:val="22"/>
          <w:szCs w:val="22"/>
        </w:rPr>
        <w:t xml:space="preserve">Felek kötelesek felügyelni és karbantartani az általuk telepített berendezéseket. Szerződő Felek szavatolják hálózataik rendeltetésszerű használatára való alkalmasságát, valamint folyamatosan biztosítják a </w:t>
      </w:r>
      <w:r w:rsidR="00783EBB" w:rsidRPr="00FF6FEA">
        <w:rPr>
          <w:rFonts w:asciiTheme="minorHAnsi" w:hAnsiTheme="minorHAnsi" w:cstheme="minorHAnsi"/>
          <w:sz w:val="22"/>
          <w:szCs w:val="22"/>
        </w:rPr>
        <w:t xml:space="preserve">Hatósági </w:t>
      </w:r>
      <w:r w:rsidRPr="00FF6FEA">
        <w:rPr>
          <w:rFonts w:asciiTheme="minorHAnsi" w:hAnsiTheme="minorHAnsi" w:cstheme="minorHAnsi"/>
          <w:sz w:val="22"/>
          <w:szCs w:val="22"/>
        </w:rPr>
        <w:t xml:space="preserve">Szerződéseikben vállalt minőségi előírásokat. </w:t>
      </w:r>
    </w:p>
    <w:p w14:paraId="3143B59F" w14:textId="77777777" w:rsidR="00EE5883" w:rsidRPr="00FF6FEA" w:rsidRDefault="008D2893" w:rsidP="00344051">
      <w:pPr>
        <w:pStyle w:val="Default"/>
        <w:spacing w:line="288" w:lineRule="auto"/>
        <w:ind w:left="708"/>
        <w:jc w:val="both"/>
        <w:rPr>
          <w:rFonts w:asciiTheme="minorHAnsi" w:hAnsiTheme="minorHAnsi" w:cstheme="minorHAnsi"/>
          <w:sz w:val="22"/>
          <w:szCs w:val="22"/>
        </w:rPr>
      </w:pPr>
      <w:r w:rsidRPr="00FF6FEA">
        <w:rPr>
          <w:rFonts w:asciiTheme="minorHAnsi" w:hAnsiTheme="minorHAnsi" w:cstheme="minorHAnsi"/>
          <w:sz w:val="22"/>
          <w:szCs w:val="22"/>
        </w:rPr>
        <w:t>A hálózat üzemeltetésének biztonsága és egysége fenntartása érdekében Felek együttműködnek egymással. Felek kötelezik magukat arra, hogy a másik Fél hálózatában észlelt hibákat, ideértve a minőség romlását és a forgalmi túlterhelést is – a hibaészlelés időpontjának és körülményeinek közlésével haladékta</w:t>
      </w:r>
      <w:r w:rsidR="00EE5883" w:rsidRPr="00FF6FEA">
        <w:rPr>
          <w:rFonts w:asciiTheme="minorHAnsi" w:hAnsiTheme="minorHAnsi" w:cstheme="minorHAnsi"/>
          <w:sz w:val="22"/>
          <w:szCs w:val="22"/>
        </w:rPr>
        <w:t>lanul írásban jelzik egymásnak.</w:t>
      </w:r>
    </w:p>
    <w:p w14:paraId="0D9B62D7" w14:textId="700F0BA8"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Felek hibaelhárítással kapcsolatos együttműködése kiterjed különösen</w:t>
      </w:r>
    </w:p>
    <w:p w14:paraId="1D2B8FEC" w14:textId="77777777" w:rsidR="008D2893" w:rsidRPr="00FF6FEA" w:rsidRDefault="00EE5883" w:rsidP="00344051">
      <w:pPr>
        <w:pStyle w:val="Default"/>
        <w:numPr>
          <w:ilvl w:val="0"/>
          <w:numId w:val="28"/>
        </w:numPr>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a</w:t>
      </w:r>
      <w:r w:rsidR="008D2893" w:rsidRPr="00FF6FEA">
        <w:rPr>
          <w:rFonts w:asciiTheme="minorHAnsi" w:hAnsiTheme="minorHAnsi" w:cstheme="minorHAnsi"/>
          <w:sz w:val="22"/>
          <w:szCs w:val="22"/>
        </w:rPr>
        <w:t xml:space="preserve"> két hálózat közötti csatlakozó nyalábok hibáira, </w:t>
      </w:r>
    </w:p>
    <w:p w14:paraId="2B3D24F5" w14:textId="77777777" w:rsidR="008D2893" w:rsidRPr="00FF6FEA" w:rsidRDefault="00EE5883" w:rsidP="00344051">
      <w:pPr>
        <w:pStyle w:val="Default"/>
        <w:numPr>
          <w:ilvl w:val="0"/>
          <w:numId w:val="28"/>
        </w:numPr>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a</w:t>
      </w:r>
      <w:r w:rsidR="008D2893" w:rsidRPr="00FF6FEA">
        <w:rPr>
          <w:rFonts w:asciiTheme="minorHAnsi" w:hAnsiTheme="minorHAnsi" w:cstheme="minorHAnsi"/>
          <w:sz w:val="22"/>
          <w:szCs w:val="22"/>
        </w:rPr>
        <w:t xml:space="preserve"> két hálózat együttműködésének jelzéstechnikai problémáira, </w:t>
      </w:r>
    </w:p>
    <w:p w14:paraId="63BF84C6" w14:textId="77777777" w:rsidR="008D2893" w:rsidRPr="00FF6FEA" w:rsidRDefault="00EE5883" w:rsidP="00344051">
      <w:pPr>
        <w:pStyle w:val="Default"/>
        <w:numPr>
          <w:ilvl w:val="0"/>
          <w:numId w:val="28"/>
        </w:numPr>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a</w:t>
      </w:r>
      <w:r w:rsidR="008D2893" w:rsidRPr="00FF6FEA">
        <w:rPr>
          <w:rFonts w:asciiTheme="minorHAnsi" w:hAnsiTheme="minorHAnsi" w:cstheme="minorHAnsi"/>
          <w:sz w:val="22"/>
          <w:szCs w:val="22"/>
        </w:rPr>
        <w:t>z előfizetői hálózat(ok)</w:t>
      </w:r>
      <w:proofErr w:type="spellStart"/>
      <w:r w:rsidR="008D2893" w:rsidRPr="00FF6FEA">
        <w:rPr>
          <w:rFonts w:asciiTheme="minorHAnsi" w:hAnsiTheme="minorHAnsi" w:cstheme="minorHAnsi"/>
          <w:sz w:val="22"/>
          <w:szCs w:val="22"/>
        </w:rPr>
        <w:t>ból</w:t>
      </w:r>
      <w:proofErr w:type="spellEnd"/>
      <w:r w:rsidR="008D2893" w:rsidRPr="00FF6FEA">
        <w:rPr>
          <w:rFonts w:asciiTheme="minorHAnsi" w:hAnsiTheme="minorHAnsi" w:cstheme="minorHAnsi"/>
          <w:sz w:val="22"/>
          <w:szCs w:val="22"/>
        </w:rPr>
        <w:t xml:space="preserve"> vagy végberendezésből eredő, a másik Felet is érintő hibákra, </w:t>
      </w:r>
    </w:p>
    <w:p w14:paraId="45557B7E" w14:textId="77777777" w:rsidR="00EE5883" w:rsidRPr="00FF6FEA" w:rsidRDefault="008D2893" w:rsidP="00344051">
      <w:pPr>
        <w:pStyle w:val="Default"/>
        <w:numPr>
          <w:ilvl w:val="0"/>
          <w:numId w:val="28"/>
        </w:numPr>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az átviteltechnikai összeköttetések és azok végberendezésein</w:t>
      </w:r>
      <w:r w:rsidR="00EE5883" w:rsidRPr="00FF6FEA">
        <w:rPr>
          <w:rFonts w:asciiTheme="minorHAnsi" w:hAnsiTheme="minorHAnsi" w:cstheme="minorHAnsi"/>
          <w:sz w:val="22"/>
          <w:szCs w:val="22"/>
        </w:rPr>
        <w:t>ek hibáira</w:t>
      </w:r>
    </w:p>
    <w:p w14:paraId="7B6F6943" w14:textId="77777777" w:rsidR="008D2893" w:rsidRPr="00FF6FEA" w:rsidRDefault="00EE588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Felelősség</w:t>
      </w:r>
    </w:p>
    <w:p w14:paraId="7C261D08" w14:textId="77777777" w:rsidR="008D2893" w:rsidRPr="00FF6FEA" w:rsidRDefault="008D2893" w:rsidP="00344051">
      <w:pPr>
        <w:pStyle w:val="Default"/>
        <w:spacing w:line="288" w:lineRule="auto"/>
        <w:ind w:left="708"/>
        <w:jc w:val="both"/>
        <w:rPr>
          <w:rFonts w:asciiTheme="minorHAnsi" w:hAnsiTheme="minorHAnsi" w:cstheme="minorHAnsi"/>
          <w:sz w:val="22"/>
          <w:szCs w:val="22"/>
        </w:rPr>
      </w:pPr>
      <w:r w:rsidRPr="00FF6FEA">
        <w:rPr>
          <w:rFonts w:asciiTheme="minorHAnsi" w:hAnsiTheme="minorHAnsi" w:cstheme="minorHAnsi"/>
          <w:sz w:val="22"/>
          <w:szCs w:val="22"/>
        </w:rPr>
        <w:t xml:space="preserve">Felek felelősséget viselnek egymással, és harmadik felekkel szemben az általuk nyújtott szolgáltatás minőségével kapcsolatos bármely panasz esetén. Amennyiben a hiba bizonyíthatóan a másik Fél érdekkörében felmerült körülményre vezethető vissza, akkor a felelősség a hibát okozó Felet terheli. </w:t>
      </w:r>
    </w:p>
    <w:p w14:paraId="5D34B91C"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 xml:space="preserve">Együttműködés a hibaelhárítás során </w:t>
      </w:r>
    </w:p>
    <w:p w14:paraId="4AAE5517" w14:textId="77777777" w:rsidR="008D2893" w:rsidRPr="00FF6FEA" w:rsidRDefault="008D2893" w:rsidP="00344051">
      <w:pPr>
        <w:pStyle w:val="Default"/>
        <w:spacing w:line="288" w:lineRule="auto"/>
        <w:ind w:left="708" w:firstLine="1"/>
        <w:jc w:val="both"/>
        <w:rPr>
          <w:rFonts w:asciiTheme="minorHAnsi" w:hAnsiTheme="minorHAnsi" w:cstheme="minorHAnsi"/>
          <w:sz w:val="22"/>
          <w:szCs w:val="22"/>
        </w:rPr>
      </w:pPr>
      <w:r w:rsidRPr="00FF6FEA">
        <w:rPr>
          <w:rFonts w:asciiTheme="minorHAnsi" w:hAnsiTheme="minorHAnsi" w:cstheme="minorHAnsi"/>
          <w:sz w:val="22"/>
          <w:szCs w:val="22"/>
        </w:rPr>
        <w:t xml:space="preserve">Felek kötelesek a saját hálózatukban jelentkező és a másik Fél szolgáltatását akadályozó, illetve azt egyébként hátrányosan befolyásoló rendszertechnikai és átviteltechnikai hibák kijavításáról haladéktalanul gondoskodni. Felek kötelesek továbbá egymást az észlelt problémákról értesíteni. Felek kölcsönösen biztosítják egymás vagy bérelt vonali szolgáltatójuk számára a hozzáférést egymás telephelyén elhelyezett berendezéseikhez. </w:t>
      </w:r>
    </w:p>
    <w:p w14:paraId="1D033F1B"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 xml:space="preserve">Együttműködés az előfizetői hibabejelentések terén </w:t>
      </w:r>
    </w:p>
    <w:p w14:paraId="2098A9EE" w14:textId="77777777" w:rsidR="008D2893" w:rsidRPr="00FF6FEA" w:rsidRDefault="008D2893" w:rsidP="00344051">
      <w:pPr>
        <w:pStyle w:val="Default"/>
        <w:spacing w:line="288" w:lineRule="auto"/>
        <w:ind w:left="708"/>
        <w:jc w:val="both"/>
        <w:rPr>
          <w:rFonts w:asciiTheme="minorHAnsi" w:hAnsiTheme="minorHAnsi" w:cstheme="minorHAnsi"/>
          <w:sz w:val="22"/>
          <w:szCs w:val="22"/>
        </w:rPr>
      </w:pPr>
      <w:r w:rsidRPr="00FF6FEA">
        <w:rPr>
          <w:rFonts w:asciiTheme="minorHAnsi" w:hAnsiTheme="minorHAnsi" w:cstheme="minorHAnsi"/>
          <w:sz w:val="22"/>
          <w:szCs w:val="22"/>
        </w:rPr>
        <w:t>Felek az előfizetőiktől érkező, a másik Fél szolgáltatásaira vonatkozó hibabejelentéseket</w:t>
      </w:r>
      <w:r w:rsidR="00783EBB" w:rsidRPr="00FF6FEA">
        <w:rPr>
          <w:rFonts w:asciiTheme="minorHAnsi" w:hAnsiTheme="minorHAnsi" w:cstheme="minorHAnsi"/>
          <w:sz w:val="22"/>
          <w:szCs w:val="22"/>
        </w:rPr>
        <w:t xml:space="preserve"> -</w:t>
      </w:r>
      <w:r w:rsidRPr="00FF6FEA">
        <w:rPr>
          <w:rFonts w:asciiTheme="minorHAnsi" w:hAnsiTheme="minorHAnsi" w:cstheme="minorHAnsi"/>
          <w:sz w:val="22"/>
          <w:szCs w:val="22"/>
        </w:rPr>
        <w:t xml:space="preserve"> </w:t>
      </w:r>
      <w:r w:rsidR="00783EBB" w:rsidRPr="00FF6FEA">
        <w:rPr>
          <w:rFonts w:asciiTheme="minorHAnsi" w:hAnsiTheme="minorHAnsi" w:cstheme="minorHAnsi"/>
          <w:sz w:val="22"/>
          <w:szCs w:val="22"/>
        </w:rPr>
        <w:t xml:space="preserve">az adatvédelmi szabályok betartása mellett - </w:t>
      </w:r>
      <w:r w:rsidRPr="00FF6FEA">
        <w:rPr>
          <w:rFonts w:asciiTheme="minorHAnsi" w:hAnsiTheme="minorHAnsi" w:cstheme="minorHAnsi"/>
          <w:sz w:val="22"/>
          <w:szCs w:val="22"/>
        </w:rPr>
        <w:t xml:space="preserve">kölcsönösen átadják egymásnak, illetve kezelik. </w:t>
      </w:r>
    </w:p>
    <w:p w14:paraId="1BBBCF01"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 xml:space="preserve">Együttműködés a hálózat változtatása esetén </w:t>
      </w:r>
    </w:p>
    <w:p w14:paraId="0F010E0B" w14:textId="77777777" w:rsidR="008D2893" w:rsidRPr="00FF6FEA" w:rsidRDefault="008D2893" w:rsidP="00344051">
      <w:pPr>
        <w:pStyle w:val="Default"/>
        <w:spacing w:line="288" w:lineRule="auto"/>
        <w:ind w:left="708"/>
        <w:jc w:val="both"/>
        <w:rPr>
          <w:rFonts w:asciiTheme="minorHAnsi" w:hAnsiTheme="minorHAnsi" w:cstheme="minorHAnsi"/>
          <w:sz w:val="22"/>
          <w:szCs w:val="22"/>
        </w:rPr>
      </w:pPr>
      <w:r w:rsidRPr="00FF6FEA">
        <w:rPr>
          <w:rFonts w:asciiTheme="minorHAnsi" w:hAnsiTheme="minorHAnsi" w:cstheme="minorHAnsi"/>
          <w:sz w:val="22"/>
          <w:szCs w:val="22"/>
        </w:rPr>
        <w:t xml:space="preserve">Ha bármelyik Fél olyan változtatást hajt végre a saját hálózatában, amely szükségessé teszi a másik Fél hálózatának megváltoztatását, illetve annak alapvető működését befolyásolhatja, akkor a változtatást kezdeményező Félnek a lehető legrövidebb időn belül a másik Felet értesítenie kell a változtatások tervezett bevezetése előtt. A megküldött értesítésnek tartalmaznia kell a változtatás főbb jellemzőit, technikai részleteit és lehetséges hatását a másik Fél hálózatára, valamint minden egyéb olyan információt is, amit a másik Fél ésszerűen elvárhat. Felek a változtatás határidejét közösen állapítják meg. A változtató Fél megtéríti a másik Fél hálózatának ezen változtatásához szükséges indokolt költségeket, kivéve azokat az eseteket, amikor </w:t>
      </w:r>
    </w:p>
    <w:p w14:paraId="368463B6" w14:textId="77777777" w:rsidR="008D2893" w:rsidRPr="00FF6FEA" w:rsidRDefault="008D2893" w:rsidP="00344051">
      <w:pPr>
        <w:pStyle w:val="Default"/>
        <w:numPr>
          <w:ilvl w:val="0"/>
          <w:numId w:val="28"/>
        </w:numPr>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 xml:space="preserve">Felek megegyeznek abban, hogy mind a ketten változtatásokat végeznek a saját hálózatukban a kölcsönös előnyök érdekében, vagy </w:t>
      </w:r>
    </w:p>
    <w:p w14:paraId="0FF1FAF0" w14:textId="77777777" w:rsidR="008D2893" w:rsidRPr="00FF6FEA" w:rsidRDefault="008D2893" w:rsidP="00344051">
      <w:pPr>
        <w:pStyle w:val="Default"/>
        <w:numPr>
          <w:ilvl w:val="0"/>
          <w:numId w:val="28"/>
        </w:numPr>
        <w:spacing w:line="288" w:lineRule="auto"/>
        <w:jc w:val="both"/>
        <w:rPr>
          <w:rFonts w:asciiTheme="minorHAnsi" w:hAnsiTheme="minorHAnsi" w:cstheme="minorHAnsi"/>
          <w:sz w:val="22"/>
          <w:szCs w:val="22"/>
        </w:rPr>
      </w:pPr>
      <w:r w:rsidRPr="00FF6FEA">
        <w:rPr>
          <w:rFonts w:asciiTheme="minorHAnsi" w:hAnsiTheme="minorHAnsi" w:cstheme="minorHAnsi"/>
          <w:sz w:val="22"/>
          <w:szCs w:val="22"/>
        </w:rPr>
        <w:t xml:space="preserve">a változtató Fél tervezett tevékenysége az alkalmazott jelzésátvitel indokolt felülvizsgálatát, módosítását tartalmazzák azon célból, hogy az megfeleljen az aktuális nemzeti jelzésátviteli szabványoknak. </w:t>
      </w:r>
    </w:p>
    <w:p w14:paraId="5134770B" w14:textId="4FDCE26E" w:rsidR="008D2893" w:rsidRPr="00FF6FEA" w:rsidRDefault="008D2893" w:rsidP="00344051">
      <w:pPr>
        <w:pStyle w:val="Default"/>
        <w:spacing w:line="288" w:lineRule="auto"/>
        <w:ind w:left="567" w:firstLine="141"/>
        <w:jc w:val="both"/>
        <w:rPr>
          <w:rFonts w:asciiTheme="minorHAnsi" w:hAnsiTheme="minorHAnsi" w:cstheme="minorHAnsi"/>
          <w:sz w:val="22"/>
          <w:szCs w:val="22"/>
        </w:rPr>
      </w:pPr>
      <w:r w:rsidRPr="00FF6FEA">
        <w:rPr>
          <w:rFonts w:asciiTheme="minorHAnsi" w:hAnsiTheme="minorHAnsi" w:cstheme="minorHAnsi"/>
          <w:sz w:val="22"/>
          <w:szCs w:val="22"/>
        </w:rPr>
        <w:lastRenderedPageBreak/>
        <w:t>A fenti esetekben mindkét Fél ezen változtatások költségeit saját maga fedezi.</w:t>
      </w:r>
    </w:p>
    <w:p w14:paraId="64C7C121"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Együttműködés új szolgáltatások bevezetésekor</w:t>
      </w:r>
    </w:p>
    <w:p w14:paraId="5E48EA8D" w14:textId="77777777" w:rsidR="008D2893" w:rsidRPr="00FF6FEA" w:rsidRDefault="008D2893" w:rsidP="00344051">
      <w:pPr>
        <w:pStyle w:val="Default"/>
        <w:spacing w:line="288" w:lineRule="auto"/>
        <w:ind w:left="708"/>
        <w:jc w:val="both"/>
        <w:rPr>
          <w:rFonts w:asciiTheme="minorHAnsi" w:hAnsiTheme="minorHAnsi" w:cstheme="minorHAnsi"/>
          <w:sz w:val="22"/>
          <w:szCs w:val="22"/>
        </w:rPr>
      </w:pPr>
      <w:r w:rsidRPr="00FF6FEA">
        <w:rPr>
          <w:rFonts w:asciiTheme="minorHAnsi" w:hAnsiTheme="minorHAnsi" w:cstheme="minorHAnsi"/>
          <w:sz w:val="22"/>
          <w:szCs w:val="22"/>
        </w:rPr>
        <w:t xml:space="preserve">Amennyiben bármelyik Fél olyan távközlési szolgáltatást vezet be, amellyel kapcsolatban sem jogszabály, sem a Felek megállapodása nem írja elő, hogy az a másik Fél számára is hozzáférhető legyen, úgy a másik Fél kezdeményezhet az új szolgáltatáshoz vagy lehetőséghez történő hozzáférés tekintetében tárgyalásokat. </w:t>
      </w:r>
    </w:p>
    <w:p w14:paraId="2E5AFBB7" w14:textId="77777777" w:rsidR="008D2893" w:rsidRPr="00FF6FEA" w:rsidRDefault="008D2893" w:rsidP="00344051">
      <w:pPr>
        <w:pStyle w:val="Default"/>
        <w:numPr>
          <w:ilvl w:val="0"/>
          <w:numId w:val="10"/>
        </w:numPr>
        <w:spacing w:line="288" w:lineRule="auto"/>
        <w:ind w:left="709" w:hanging="283"/>
        <w:jc w:val="both"/>
        <w:rPr>
          <w:rFonts w:asciiTheme="minorHAnsi" w:hAnsiTheme="minorHAnsi" w:cstheme="minorHAnsi"/>
          <w:b/>
          <w:sz w:val="22"/>
          <w:szCs w:val="22"/>
        </w:rPr>
      </w:pPr>
      <w:r w:rsidRPr="00FF6FEA">
        <w:rPr>
          <w:rFonts w:asciiTheme="minorHAnsi" w:hAnsiTheme="minorHAnsi" w:cstheme="minorHAnsi"/>
          <w:b/>
          <w:sz w:val="22"/>
          <w:szCs w:val="22"/>
        </w:rPr>
        <w:t xml:space="preserve">Együttműködés veszélyhelyzetben vagy rendkívüli állapot esetén </w:t>
      </w:r>
    </w:p>
    <w:p w14:paraId="737762CF" w14:textId="77777777" w:rsidR="008D2893" w:rsidRPr="00FF6FEA" w:rsidRDefault="008D2893" w:rsidP="00344051">
      <w:pPr>
        <w:pStyle w:val="Default"/>
        <w:spacing w:line="288" w:lineRule="auto"/>
        <w:ind w:left="708"/>
        <w:jc w:val="both"/>
        <w:rPr>
          <w:rFonts w:asciiTheme="minorHAnsi" w:hAnsiTheme="minorHAnsi" w:cstheme="minorHAnsi"/>
          <w:sz w:val="22"/>
          <w:szCs w:val="22"/>
        </w:rPr>
      </w:pPr>
      <w:r w:rsidRPr="00FF6FEA">
        <w:rPr>
          <w:rFonts w:asciiTheme="minorHAnsi" w:hAnsiTheme="minorHAnsi" w:cstheme="minorHAnsi"/>
          <w:sz w:val="22"/>
          <w:szCs w:val="22"/>
        </w:rPr>
        <w:t>A rendkívüli állapot és veszélyhelyzet esetében alkalmazandó intézkedési terv kidolgozásában és végrehajtásában Felek – a jogszabályok által előírt módon – kötelesek az érintett miniszter(</w:t>
      </w:r>
      <w:proofErr w:type="spellStart"/>
      <w:r w:rsidRPr="00FF6FEA">
        <w:rPr>
          <w:rFonts w:asciiTheme="minorHAnsi" w:hAnsiTheme="minorHAnsi" w:cstheme="minorHAnsi"/>
          <w:sz w:val="22"/>
          <w:szCs w:val="22"/>
        </w:rPr>
        <w:t>ek</w:t>
      </w:r>
      <w:proofErr w:type="spellEnd"/>
      <w:r w:rsidRPr="00FF6FEA">
        <w:rPr>
          <w:rFonts w:asciiTheme="minorHAnsi" w:hAnsiTheme="minorHAnsi" w:cstheme="minorHAnsi"/>
          <w:sz w:val="22"/>
          <w:szCs w:val="22"/>
        </w:rPr>
        <w:t xml:space="preserve">) iránymutatásai szerint együttműködni más távközlési szolgáltatókkal és távközlési hálózatot működtetőkkel. Rendkívüli állapot és veszélyhelyzet esetén, valamint a közbiztonság védelme érdekében a jogszabályokban meghatározott keretek között Felek </w:t>
      </w:r>
      <w:r w:rsidR="00783EBB" w:rsidRPr="00FF6FEA">
        <w:rPr>
          <w:rFonts w:asciiTheme="minorHAnsi" w:hAnsiTheme="minorHAnsi" w:cstheme="minorHAnsi"/>
          <w:sz w:val="22"/>
          <w:szCs w:val="22"/>
        </w:rPr>
        <w:t>Magyarország</w:t>
      </w:r>
      <w:r w:rsidRPr="00FF6FEA">
        <w:rPr>
          <w:rFonts w:asciiTheme="minorHAnsi" w:hAnsiTheme="minorHAnsi" w:cstheme="minorHAnsi"/>
          <w:sz w:val="22"/>
          <w:szCs w:val="22"/>
        </w:rPr>
        <w:t xml:space="preserve"> kormánya, illetve a </w:t>
      </w:r>
      <w:r w:rsidR="00783EBB" w:rsidRPr="00FF6FEA">
        <w:rPr>
          <w:rFonts w:asciiTheme="minorHAnsi" w:hAnsiTheme="minorHAnsi" w:cstheme="minorHAnsi"/>
          <w:sz w:val="22"/>
          <w:szCs w:val="22"/>
        </w:rPr>
        <w:t xml:space="preserve">hatáskörrel rendelkező </w:t>
      </w:r>
      <w:r w:rsidRPr="00FF6FEA">
        <w:rPr>
          <w:rFonts w:asciiTheme="minorHAnsi" w:hAnsiTheme="minorHAnsi" w:cstheme="minorHAnsi"/>
          <w:sz w:val="22"/>
          <w:szCs w:val="22"/>
        </w:rPr>
        <w:t xml:space="preserve">miniszter utasításai szerint kötelesek eljárni. </w:t>
      </w:r>
    </w:p>
    <w:p w14:paraId="46169C68" w14:textId="77B0640D" w:rsidR="005421A8" w:rsidRDefault="005421A8" w:rsidP="008428D7">
      <w:pPr>
        <w:spacing w:after="0" w:line="288" w:lineRule="auto"/>
        <w:jc w:val="both"/>
        <w:rPr>
          <w:rFonts w:cstheme="minorHAnsi"/>
        </w:rPr>
      </w:pPr>
    </w:p>
    <w:p w14:paraId="44FB35B1" w14:textId="77777777" w:rsidR="00FF6FEA" w:rsidRPr="00FF6FEA" w:rsidRDefault="00FF6FEA" w:rsidP="008428D7">
      <w:pPr>
        <w:spacing w:after="0" w:line="288" w:lineRule="auto"/>
        <w:jc w:val="both"/>
        <w:rPr>
          <w:rFonts w:cstheme="minorHAnsi"/>
        </w:rPr>
      </w:pPr>
    </w:p>
    <w:p w14:paraId="0BD83406" w14:textId="22DFA1E4" w:rsidR="005B4184" w:rsidRPr="00686680" w:rsidRDefault="005B4184" w:rsidP="005B4184">
      <w:pPr>
        <w:pStyle w:val="Default"/>
        <w:numPr>
          <w:ilvl w:val="0"/>
          <w:numId w:val="18"/>
        </w:numPr>
        <w:spacing w:line="288" w:lineRule="auto"/>
        <w:jc w:val="both"/>
        <w:rPr>
          <w:rFonts w:asciiTheme="minorHAnsi" w:hAnsiTheme="minorHAnsi" w:cstheme="minorHAnsi"/>
          <w:b/>
          <w:bCs/>
          <w:sz w:val="22"/>
          <w:szCs w:val="22"/>
        </w:rPr>
      </w:pPr>
      <w:bookmarkStart w:id="1" w:name="_Ref26427500"/>
      <w:r w:rsidRPr="00686680">
        <w:rPr>
          <w:rFonts w:asciiTheme="minorHAnsi" w:hAnsiTheme="minorHAnsi" w:cstheme="minorHAnsi"/>
          <w:b/>
          <w:bCs/>
          <w:sz w:val="22"/>
          <w:szCs w:val="22"/>
        </w:rPr>
        <w:t>Díjak</w:t>
      </w:r>
      <w:bookmarkEnd w:id="1"/>
    </w:p>
    <w:p w14:paraId="670FA789" w14:textId="77777777" w:rsidR="00686680" w:rsidRPr="00866CF1" w:rsidRDefault="00686680" w:rsidP="00686680">
      <w:pPr>
        <w:pStyle w:val="Default"/>
        <w:spacing w:line="288" w:lineRule="auto"/>
        <w:jc w:val="both"/>
        <w:rPr>
          <w:rFonts w:asciiTheme="minorHAnsi" w:hAnsiTheme="minorHAnsi" w:cstheme="minorHAnsi"/>
          <w:b/>
          <w:bCs/>
          <w:sz w:val="22"/>
          <w:szCs w:val="22"/>
        </w:rPr>
      </w:pPr>
    </w:p>
    <w:p w14:paraId="40D0797B" w14:textId="77777777" w:rsidR="00866CF1" w:rsidRPr="00866CF1" w:rsidRDefault="00866CF1" w:rsidP="00866CF1">
      <w:pPr>
        <w:pStyle w:val="ListParagraph"/>
        <w:numPr>
          <w:ilvl w:val="0"/>
          <w:numId w:val="31"/>
        </w:numPr>
        <w:spacing w:before="120" w:after="120" w:line="240" w:lineRule="auto"/>
        <w:rPr>
          <w:rFonts w:cstheme="minorHAnsi"/>
          <w:b/>
          <w:vanish/>
        </w:rPr>
      </w:pPr>
    </w:p>
    <w:p w14:paraId="2AF354BA" w14:textId="77777777" w:rsidR="00866CF1" w:rsidRPr="00866CF1" w:rsidRDefault="00866CF1" w:rsidP="00866CF1">
      <w:pPr>
        <w:pStyle w:val="ListParagraph"/>
        <w:numPr>
          <w:ilvl w:val="0"/>
          <w:numId w:val="31"/>
        </w:numPr>
        <w:spacing w:before="120" w:after="120" w:line="240" w:lineRule="auto"/>
        <w:rPr>
          <w:rFonts w:cstheme="minorHAnsi"/>
          <w:b/>
          <w:vanish/>
        </w:rPr>
      </w:pPr>
    </w:p>
    <w:p w14:paraId="7F1F98BE" w14:textId="18D127DF" w:rsidR="00686680" w:rsidRPr="00866CF1" w:rsidRDefault="00686680" w:rsidP="00866CF1">
      <w:pPr>
        <w:pStyle w:val="ListParagraph"/>
        <w:numPr>
          <w:ilvl w:val="1"/>
          <w:numId w:val="31"/>
        </w:numPr>
        <w:spacing w:before="120" w:after="120" w:line="240" w:lineRule="auto"/>
        <w:ind w:left="0" w:firstLine="0"/>
        <w:rPr>
          <w:rFonts w:cstheme="minorHAnsi"/>
          <w:b/>
        </w:rPr>
      </w:pPr>
      <w:bookmarkStart w:id="2" w:name="_Ref37323009"/>
      <w:r w:rsidRPr="00866CF1">
        <w:rPr>
          <w:rFonts w:cstheme="minorHAnsi"/>
          <w:b/>
        </w:rPr>
        <w:t>Kiegészítő Szolgáltatások díja</w:t>
      </w:r>
      <w:bookmarkEnd w:id="2"/>
    </w:p>
    <w:p w14:paraId="7A33B319" w14:textId="77777777" w:rsidR="00686680" w:rsidRPr="00866CF1" w:rsidRDefault="00686680" w:rsidP="00686680">
      <w:pPr>
        <w:numPr>
          <w:ilvl w:val="2"/>
          <w:numId w:val="31"/>
        </w:numPr>
        <w:spacing w:before="120" w:after="120" w:line="240" w:lineRule="auto"/>
        <w:ind w:left="709"/>
        <w:rPr>
          <w:rFonts w:cstheme="minorHAnsi"/>
          <w:b/>
        </w:rPr>
      </w:pPr>
      <w:r w:rsidRPr="00866CF1">
        <w:rPr>
          <w:rFonts w:cstheme="minorHAnsi"/>
          <w:b/>
        </w:rPr>
        <w:t>Csatlakozó link/nyaláb szolgáltatás Fizikai helymegosztás mellett</w:t>
      </w:r>
    </w:p>
    <w:p w14:paraId="2C6AAC83" w14:textId="77777777" w:rsidR="00686680" w:rsidRPr="003D365D" w:rsidRDefault="00686680" w:rsidP="00686680">
      <w:pPr>
        <w:jc w:val="both"/>
        <w:rPr>
          <w:rFonts w:cstheme="minorHAnsi"/>
        </w:rPr>
      </w:pPr>
      <w:r w:rsidRPr="00866CF1">
        <w:rPr>
          <w:rFonts w:cstheme="minorHAnsi"/>
        </w:rPr>
        <w:t xml:space="preserve">A Csatlakozó link/nyaláb szolgáltatás Havi Díj tartalmazza a szolgáltatás kialakításához szükséges konfigurációs feladat, eszközök beszerzésének és telepítésének havi díjra vetített költségeit. Egy adott Csatlakozó link/nyaláb a vonatkozó Átviteltechnikai </w:t>
      </w:r>
      <w:r w:rsidRPr="003D365D">
        <w:rPr>
          <w:rFonts w:cstheme="minorHAnsi"/>
        </w:rPr>
        <w:t xml:space="preserve">Üzembehelyezési Jegyzőkönyv mindkét Fél általi elfogadásának időpontjától kezdve tekintendő műszakilag szolgáltatásra késznek. A Telenor ettől az időponttól kezdve jogosult a Csatlakozó link/nyaláb szolgáltatás díját számlázni. </w:t>
      </w:r>
    </w:p>
    <w:p w14:paraId="1368DCC2" w14:textId="77777777" w:rsidR="00686680" w:rsidRPr="00866CF1" w:rsidRDefault="00686680" w:rsidP="00686680">
      <w:pPr>
        <w:pStyle w:val="h1"/>
        <w:numPr>
          <w:ilvl w:val="0"/>
          <w:numId w:val="30"/>
        </w:numPr>
        <w:tabs>
          <w:tab w:val="left" w:pos="851"/>
        </w:tabs>
        <w:spacing w:before="120" w:after="0"/>
        <w:ind w:left="1134"/>
        <w:rPr>
          <w:rFonts w:asciiTheme="minorHAnsi" w:hAnsiTheme="minorHAnsi" w:cstheme="minorHAnsi"/>
          <w:sz w:val="22"/>
          <w:szCs w:val="22"/>
        </w:rPr>
      </w:pPr>
      <w:r w:rsidRPr="00866CF1">
        <w:rPr>
          <w:rFonts w:asciiTheme="minorHAnsi" w:hAnsiTheme="minorHAnsi" w:cstheme="minorHAnsi"/>
          <w:sz w:val="22"/>
          <w:szCs w:val="22"/>
        </w:rPr>
        <w:t xml:space="preserve">Az 1GE rendszerű Csatlakozó link/nyaláb szolgáltatás díja: </w:t>
      </w:r>
      <w:r w:rsidRPr="00866CF1">
        <w:rPr>
          <w:rFonts w:asciiTheme="minorHAnsi" w:hAnsiTheme="minorHAnsi" w:cstheme="minorHAnsi"/>
          <w:b/>
          <w:sz w:val="22"/>
          <w:szCs w:val="22"/>
        </w:rPr>
        <w:t>152 Ft/hó</w:t>
      </w:r>
      <w:r w:rsidRPr="00866CF1">
        <w:rPr>
          <w:rFonts w:asciiTheme="minorHAnsi" w:hAnsiTheme="minorHAnsi" w:cstheme="minorHAnsi"/>
          <w:sz w:val="22"/>
          <w:szCs w:val="22"/>
        </w:rPr>
        <w:t xml:space="preserve"> </w:t>
      </w:r>
    </w:p>
    <w:p w14:paraId="38E9B6AC" w14:textId="77777777" w:rsidR="00686680" w:rsidRPr="00866CF1" w:rsidRDefault="00686680" w:rsidP="00686680">
      <w:pPr>
        <w:pStyle w:val="C"/>
        <w:jc w:val="center"/>
        <w:rPr>
          <w:rFonts w:asciiTheme="minorHAnsi" w:hAnsiTheme="minorHAnsi" w:cstheme="minorHAnsi"/>
          <w:b/>
          <w:bCs/>
          <w:sz w:val="22"/>
          <w:szCs w:val="22"/>
        </w:rPr>
      </w:pPr>
    </w:p>
    <w:p w14:paraId="7911C729" w14:textId="77777777" w:rsidR="00686680" w:rsidRPr="00866CF1" w:rsidRDefault="00686680" w:rsidP="00686680">
      <w:pPr>
        <w:numPr>
          <w:ilvl w:val="2"/>
          <w:numId w:val="31"/>
        </w:numPr>
        <w:spacing w:before="120" w:after="120" w:line="240" w:lineRule="auto"/>
        <w:ind w:left="709"/>
        <w:rPr>
          <w:rFonts w:cstheme="minorHAnsi"/>
          <w:b/>
        </w:rPr>
      </w:pPr>
      <w:r w:rsidRPr="009F161F">
        <w:rPr>
          <w:rFonts w:cstheme="minorHAnsi"/>
          <w:b/>
        </w:rPr>
        <w:t>Fizikai helymegosztás szolgáltatás</w:t>
      </w:r>
    </w:p>
    <w:p w14:paraId="3A127890" w14:textId="77777777" w:rsidR="00686680" w:rsidRPr="00866CF1" w:rsidRDefault="00686680" w:rsidP="00686680">
      <w:pPr>
        <w:jc w:val="both"/>
        <w:rPr>
          <w:rFonts w:cstheme="minorHAnsi"/>
        </w:rPr>
      </w:pPr>
      <w:r w:rsidRPr="00866CF1">
        <w:rPr>
          <w:rFonts w:cstheme="minorHAnsi"/>
        </w:rPr>
        <w:t xml:space="preserve">Az IP technológiával megvalósított Fizikai Helymegosztás szolgáltatás díja a Partner eszközeinek elhelyezésre alkalmas létesítmény kialakításának és működtetésének havi díjra vetített költségeit tartalmazza (összekapcsolás céljára kialakított </w:t>
      </w:r>
      <w:proofErr w:type="spellStart"/>
      <w:r w:rsidRPr="00866CF1">
        <w:rPr>
          <w:rFonts w:cstheme="minorHAnsi"/>
        </w:rPr>
        <w:t>rack</w:t>
      </w:r>
      <w:proofErr w:type="spellEnd"/>
      <w:r w:rsidRPr="00866CF1">
        <w:rPr>
          <w:rFonts w:cstheme="minorHAnsi"/>
        </w:rPr>
        <w:t xml:space="preserve"> hely és </w:t>
      </w:r>
      <w:proofErr w:type="spellStart"/>
      <w:r w:rsidRPr="00866CF1">
        <w:rPr>
          <w:rFonts w:cstheme="minorHAnsi"/>
        </w:rPr>
        <w:t>rack</w:t>
      </w:r>
      <w:proofErr w:type="spellEnd"/>
      <w:r w:rsidRPr="00866CF1">
        <w:rPr>
          <w:rFonts w:cstheme="minorHAnsi"/>
        </w:rPr>
        <w:t xml:space="preserve"> szekrény, az azt tartalmazó helyiség fenntartási és üzemeltetési költsége, áramfogyasztás klimatizált helyiségben 3 U </w:t>
      </w:r>
      <w:proofErr w:type="spellStart"/>
      <w:r w:rsidRPr="00866CF1">
        <w:rPr>
          <w:rFonts w:cstheme="minorHAnsi"/>
        </w:rPr>
        <w:t>rack</w:t>
      </w:r>
      <w:proofErr w:type="spellEnd"/>
      <w:r w:rsidRPr="00866CF1">
        <w:rPr>
          <w:rFonts w:cstheme="minorHAnsi"/>
        </w:rPr>
        <w:t xml:space="preserve"> </w:t>
      </w:r>
      <w:proofErr w:type="spellStart"/>
      <w:r w:rsidRPr="00866CF1">
        <w:rPr>
          <w:rFonts w:cstheme="minorHAnsi"/>
        </w:rPr>
        <w:t>helyenkén</w:t>
      </w:r>
      <w:proofErr w:type="spellEnd"/>
      <w:r w:rsidRPr="00866CF1">
        <w:rPr>
          <w:rFonts w:cstheme="minorHAnsi"/>
        </w:rPr>
        <w:t>). A Fizikai Helymegosztáshoz kapcsolódó díjakat a Partner Helymegosztási Egység átadását (birtokba adását) követően jogosult a Telenor kiszámlázni.</w:t>
      </w:r>
    </w:p>
    <w:p w14:paraId="57CCC326" w14:textId="77777777" w:rsidR="00686680" w:rsidRPr="00866CF1" w:rsidRDefault="00686680" w:rsidP="00686680">
      <w:pPr>
        <w:pStyle w:val="h1"/>
        <w:numPr>
          <w:ilvl w:val="0"/>
          <w:numId w:val="30"/>
        </w:numPr>
        <w:tabs>
          <w:tab w:val="left" w:pos="851"/>
        </w:tabs>
        <w:spacing w:before="120" w:after="0"/>
        <w:ind w:left="1134"/>
        <w:rPr>
          <w:rFonts w:asciiTheme="minorHAnsi" w:hAnsiTheme="minorHAnsi" w:cstheme="minorHAnsi"/>
          <w:sz w:val="22"/>
          <w:szCs w:val="22"/>
        </w:rPr>
      </w:pPr>
      <w:r w:rsidRPr="00866CF1">
        <w:rPr>
          <w:rFonts w:asciiTheme="minorHAnsi" w:hAnsiTheme="minorHAnsi" w:cstheme="minorHAnsi"/>
          <w:sz w:val="22"/>
          <w:szCs w:val="22"/>
        </w:rPr>
        <w:t>A szolgáltatás havidíjai az alábbiak:</w:t>
      </w:r>
    </w:p>
    <w:tbl>
      <w:tblPr>
        <w:tblW w:w="7140" w:type="dxa"/>
        <w:tblInd w:w="1702" w:type="dxa"/>
        <w:tblCellMar>
          <w:left w:w="70" w:type="dxa"/>
          <w:right w:w="70" w:type="dxa"/>
        </w:tblCellMar>
        <w:tblLook w:val="04A0" w:firstRow="1" w:lastRow="0" w:firstColumn="1" w:lastColumn="0" w:noHBand="0" w:noVBand="1"/>
      </w:tblPr>
      <w:tblGrid>
        <w:gridCol w:w="4840"/>
        <w:gridCol w:w="2300"/>
      </w:tblGrid>
      <w:tr w:rsidR="00686680" w:rsidRPr="003D365D" w14:paraId="29E1A094" w14:textId="77777777" w:rsidTr="00EC5BA8">
        <w:trPr>
          <w:trHeight w:val="624"/>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75B00" w14:textId="77777777" w:rsidR="00686680" w:rsidRPr="00866CF1" w:rsidRDefault="00686680" w:rsidP="00EC5BA8">
            <w:pPr>
              <w:jc w:val="center"/>
              <w:rPr>
                <w:rFonts w:cstheme="minorHAnsi"/>
                <w:b/>
                <w:bCs/>
                <w:color w:val="000000"/>
                <w:lang w:eastAsia="hu-HU"/>
              </w:rPr>
            </w:pPr>
            <w:r w:rsidRPr="009F161F">
              <w:rPr>
                <w:rFonts w:cstheme="minorHAnsi"/>
                <w:b/>
                <w:bCs/>
                <w:color w:val="000000"/>
                <w:lang w:eastAsia="hu-HU"/>
              </w:rPr>
              <w:t xml:space="preserve">Fizikai helymegosztás IP technológiájú összekapcsolás esetén </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491AF2CE" w14:textId="77777777" w:rsidR="00686680" w:rsidRPr="00866CF1" w:rsidRDefault="00686680" w:rsidP="00EC5BA8">
            <w:pPr>
              <w:jc w:val="center"/>
              <w:rPr>
                <w:rFonts w:cstheme="minorHAnsi"/>
                <w:b/>
                <w:bCs/>
                <w:color w:val="000000"/>
                <w:lang w:eastAsia="hu-HU"/>
              </w:rPr>
            </w:pPr>
            <w:r w:rsidRPr="00866CF1">
              <w:rPr>
                <w:rFonts w:cstheme="minorHAnsi"/>
                <w:b/>
                <w:bCs/>
                <w:color w:val="000000"/>
                <w:lang w:eastAsia="hu-HU"/>
              </w:rPr>
              <w:t>Havi díj (Ft/hó)</w:t>
            </w:r>
          </w:p>
        </w:tc>
      </w:tr>
      <w:tr w:rsidR="00686680" w:rsidRPr="003D365D" w14:paraId="7D766AC4" w14:textId="77777777" w:rsidTr="00EC5BA8">
        <w:trPr>
          <w:trHeight w:val="288"/>
        </w:trPr>
        <w:tc>
          <w:tcPr>
            <w:tcW w:w="71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DA1C24" w14:textId="77777777" w:rsidR="00686680" w:rsidRPr="003D365D" w:rsidRDefault="00686680" w:rsidP="00EC5BA8">
            <w:pPr>
              <w:jc w:val="center"/>
              <w:rPr>
                <w:rFonts w:cstheme="minorHAnsi"/>
                <w:color w:val="000000"/>
                <w:lang w:eastAsia="hu-HU"/>
              </w:rPr>
            </w:pPr>
            <w:r w:rsidRPr="003D365D">
              <w:rPr>
                <w:rFonts w:cstheme="minorHAnsi"/>
                <w:color w:val="000000"/>
                <w:lang w:eastAsia="hu-HU"/>
              </w:rPr>
              <w:t>1117 Budapest, Budafoki út 64</w:t>
            </w:r>
          </w:p>
        </w:tc>
      </w:tr>
      <w:tr w:rsidR="00686680" w:rsidRPr="003D365D" w14:paraId="6A1D49C8" w14:textId="77777777" w:rsidTr="00EC5BA8">
        <w:trPr>
          <w:trHeight w:val="288"/>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42EACB4D" w14:textId="77777777" w:rsidR="00686680" w:rsidRPr="003D365D" w:rsidRDefault="00686680" w:rsidP="00EC5BA8">
            <w:pPr>
              <w:rPr>
                <w:rFonts w:cstheme="minorHAnsi"/>
                <w:color w:val="000000"/>
                <w:lang w:eastAsia="hu-HU"/>
              </w:rPr>
            </w:pPr>
            <w:r w:rsidRPr="003D365D">
              <w:rPr>
                <w:rFonts w:cstheme="minorHAnsi"/>
                <w:color w:val="000000"/>
                <w:lang w:eastAsia="hu-HU"/>
              </w:rPr>
              <w:t>Helymegosztás létesítési díj</w:t>
            </w:r>
          </w:p>
        </w:tc>
        <w:tc>
          <w:tcPr>
            <w:tcW w:w="2300" w:type="dxa"/>
            <w:tcBorders>
              <w:top w:val="nil"/>
              <w:left w:val="nil"/>
              <w:bottom w:val="single" w:sz="4" w:space="0" w:color="auto"/>
              <w:right w:val="single" w:sz="4" w:space="0" w:color="auto"/>
            </w:tcBorders>
            <w:shd w:val="clear" w:color="auto" w:fill="auto"/>
            <w:noWrap/>
            <w:vAlign w:val="center"/>
            <w:hideMark/>
          </w:tcPr>
          <w:p w14:paraId="44862A9B" w14:textId="77777777" w:rsidR="00686680" w:rsidRPr="003D365D" w:rsidRDefault="00686680" w:rsidP="00EC5BA8">
            <w:pPr>
              <w:jc w:val="center"/>
              <w:rPr>
                <w:rFonts w:cstheme="minorHAnsi"/>
                <w:color w:val="000000"/>
                <w:lang w:eastAsia="hu-HU"/>
              </w:rPr>
            </w:pPr>
            <w:r w:rsidRPr="003D365D">
              <w:rPr>
                <w:rFonts w:cstheme="minorHAnsi"/>
                <w:color w:val="000000"/>
                <w:lang w:eastAsia="hu-HU"/>
              </w:rPr>
              <w:t>384 Ft/hó</w:t>
            </w:r>
          </w:p>
        </w:tc>
      </w:tr>
      <w:tr w:rsidR="00686680" w:rsidRPr="003D365D" w14:paraId="7D2FE8E2" w14:textId="77777777" w:rsidTr="00EC5BA8">
        <w:trPr>
          <w:trHeight w:val="624"/>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00A476D2" w14:textId="77777777" w:rsidR="00686680" w:rsidRPr="003D365D" w:rsidRDefault="00686680" w:rsidP="00EC5BA8">
            <w:pPr>
              <w:rPr>
                <w:rFonts w:cstheme="minorHAnsi"/>
                <w:color w:val="000000"/>
                <w:lang w:eastAsia="hu-HU"/>
              </w:rPr>
            </w:pPr>
            <w:r w:rsidRPr="003D365D">
              <w:rPr>
                <w:rFonts w:cstheme="minorHAnsi"/>
                <w:color w:val="000000"/>
                <w:lang w:eastAsia="hu-HU"/>
              </w:rPr>
              <w:t>Ingatlanbérleti díj és helymegosztás üzemeltetés-fenntartási díj, klíma figyelembevételével</w:t>
            </w:r>
          </w:p>
        </w:tc>
        <w:tc>
          <w:tcPr>
            <w:tcW w:w="2300" w:type="dxa"/>
            <w:tcBorders>
              <w:top w:val="nil"/>
              <w:left w:val="nil"/>
              <w:bottom w:val="single" w:sz="4" w:space="0" w:color="auto"/>
              <w:right w:val="single" w:sz="4" w:space="0" w:color="auto"/>
            </w:tcBorders>
            <w:shd w:val="clear" w:color="auto" w:fill="auto"/>
            <w:noWrap/>
            <w:vAlign w:val="center"/>
            <w:hideMark/>
          </w:tcPr>
          <w:p w14:paraId="406EFEC0" w14:textId="77777777" w:rsidR="00686680" w:rsidRPr="003D365D" w:rsidRDefault="00686680" w:rsidP="00EC5BA8">
            <w:pPr>
              <w:jc w:val="center"/>
              <w:rPr>
                <w:rFonts w:cstheme="minorHAnsi"/>
                <w:color w:val="000000"/>
                <w:lang w:eastAsia="hu-HU"/>
              </w:rPr>
            </w:pPr>
            <w:r w:rsidRPr="003D365D">
              <w:rPr>
                <w:rFonts w:cstheme="minorHAnsi"/>
                <w:color w:val="000000"/>
                <w:lang w:eastAsia="hu-HU"/>
              </w:rPr>
              <w:t>12 960 Ft/hó</w:t>
            </w:r>
          </w:p>
        </w:tc>
      </w:tr>
    </w:tbl>
    <w:p w14:paraId="3206294D" w14:textId="77777777" w:rsidR="00686680" w:rsidRPr="00866CF1" w:rsidRDefault="00686680" w:rsidP="00686680">
      <w:pPr>
        <w:pStyle w:val="C"/>
        <w:ind w:left="709" w:firstLine="0"/>
        <w:rPr>
          <w:rFonts w:asciiTheme="minorHAnsi" w:hAnsiTheme="minorHAnsi" w:cstheme="minorHAnsi"/>
          <w:sz w:val="22"/>
          <w:szCs w:val="22"/>
        </w:rPr>
      </w:pPr>
    </w:p>
    <w:p w14:paraId="316B4AE9" w14:textId="66E9D18C" w:rsidR="00686680" w:rsidRPr="00866CF1" w:rsidRDefault="00686680" w:rsidP="00686680">
      <w:pPr>
        <w:numPr>
          <w:ilvl w:val="2"/>
          <w:numId w:val="31"/>
        </w:numPr>
        <w:spacing w:before="120" w:after="120" w:line="240" w:lineRule="auto"/>
        <w:ind w:left="709"/>
        <w:rPr>
          <w:rFonts w:cstheme="minorHAnsi"/>
          <w:b/>
        </w:rPr>
      </w:pPr>
      <w:r w:rsidRPr="009F161F">
        <w:rPr>
          <w:rFonts w:cstheme="minorHAnsi"/>
          <w:b/>
        </w:rPr>
        <w:lastRenderedPageBreak/>
        <w:t>Átadás-átvételi díjak</w:t>
      </w:r>
    </w:p>
    <w:p w14:paraId="7C25A19C" w14:textId="77777777" w:rsidR="00686680" w:rsidRPr="00866CF1" w:rsidRDefault="00686680" w:rsidP="00686680">
      <w:pPr>
        <w:jc w:val="both"/>
        <w:rPr>
          <w:rFonts w:cstheme="minorHAnsi"/>
        </w:rPr>
      </w:pPr>
      <w:r w:rsidRPr="00866CF1">
        <w:rPr>
          <w:rFonts w:cstheme="minorHAnsi"/>
        </w:rPr>
        <w:t xml:space="preserve">Az Átadás-Átvételi Eljárás keretében elvégzésre kerülő tesztek és üzembe helyezési vizsgálatok díja a tesztek sikerességétől függetlenül </w:t>
      </w:r>
    </w:p>
    <w:p w14:paraId="4AB5DD20" w14:textId="77777777" w:rsidR="00686680" w:rsidRPr="00866CF1" w:rsidRDefault="00686680" w:rsidP="00686680">
      <w:pPr>
        <w:pStyle w:val="h1"/>
        <w:numPr>
          <w:ilvl w:val="0"/>
          <w:numId w:val="30"/>
        </w:numPr>
        <w:tabs>
          <w:tab w:val="left" w:pos="851"/>
        </w:tabs>
        <w:spacing w:before="120" w:after="0"/>
        <w:ind w:left="1134"/>
        <w:rPr>
          <w:rFonts w:asciiTheme="minorHAnsi" w:hAnsiTheme="minorHAnsi" w:cstheme="minorHAnsi"/>
          <w:sz w:val="22"/>
          <w:szCs w:val="22"/>
        </w:rPr>
      </w:pPr>
      <w:r w:rsidRPr="00866CF1">
        <w:rPr>
          <w:rFonts w:asciiTheme="minorHAnsi" w:hAnsiTheme="minorHAnsi" w:cstheme="minorHAnsi"/>
          <w:sz w:val="22"/>
          <w:szCs w:val="22"/>
        </w:rPr>
        <w:t xml:space="preserve">1.170.440 egyszeri díj </w:t>
      </w:r>
    </w:p>
    <w:p w14:paraId="6003606E" w14:textId="77777777" w:rsidR="002112FE" w:rsidRPr="00FF6FEA" w:rsidRDefault="002112FE" w:rsidP="002112FE">
      <w:pPr>
        <w:pStyle w:val="Default"/>
        <w:spacing w:line="288" w:lineRule="auto"/>
        <w:jc w:val="both"/>
        <w:rPr>
          <w:rFonts w:asciiTheme="minorHAnsi" w:hAnsiTheme="minorHAnsi" w:cstheme="minorHAnsi"/>
          <w:b/>
          <w:bCs/>
          <w:sz w:val="22"/>
          <w:szCs w:val="22"/>
        </w:rPr>
      </w:pPr>
    </w:p>
    <w:p w14:paraId="6C7B0956" w14:textId="7731AF34" w:rsidR="00CF5140" w:rsidRPr="00866CF1" w:rsidRDefault="00344051" w:rsidP="00866CF1">
      <w:pPr>
        <w:pStyle w:val="ListParagraph"/>
        <w:numPr>
          <w:ilvl w:val="1"/>
          <w:numId w:val="31"/>
        </w:numPr>
        <w:spacing w:before="120" w:after="120" w:line="240" w:lineRule="auto"/>
        <w:ind w:left="0" w:firstLine="0"/>
        <w:rPr>
          <w:rFonts w:cstheme="minorHAnsi"/>
          <w:b/>
        </w:rPr>
      </w:pPr>
      <w:r w:rsidRPr="00866CF1">
        <w:rPr>
          <w:rFonts w:cstheme="minorHAnsi"/>
          <w:b/>
        </w:rPr>
        <w:t>B</w:t>
      </w:r>
      <w:r w:rsidR="00CF5140" w:rsidRPr="00866CF1">
        <w:rPr>
          <w:rFonts w:cstheme="minorHAnsi"/>
          <w:b/>
        </w:rPr>
        <w:t>eszédcélú hívásvégződtetés forgalmi szolgáltatás igénybevételének díjazása</w:t>
      </w:r>
    </w:p>
    <w:p w14:paraId="6F926240" w14:textId="79E08CFA" w:rsidR="00CF5140" w:rsidRPr="00FF6FEA" w:rsidRDefault="00CF5140"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A hívásvégződtetés díja az Európai Gazdasági Térség területén belülről (az hívó fél száma (’A’ szám) az EGT valamelyik tagállamának országkódja) indított hívások esetében 1,71 Ft/perc, az Európai Gazdasági Térség területén kívül indított hívások esetében 11,91 Ft/perc.</w:t>
      </w:r>
    </w:p>
    <w:p w14:paraId="0C98FAC3" w14:textId="5CC79289" w:rsidR="00344051" w:rsidRPr="00FF6FEA" w:rsidRDefault="00344051"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A végződtetésre átadott forgalmat a Telenor Magyarország méri és ennek alapján havonta számlát állít ki.</w:t>
      </w:r>
    </w:p>
    <w:p w14:paraId="63D8C5F5" w14:textId="77777777" w:rsidR="00344051" w:rsidRPr="00FF6FEA" w:rsidRDefault="00344051"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A számla fizetési határideje 15 nap.</w:t>
      </w:r>
    </w:p>
    <w:p w14:paraId="0E2F2DE9" w14:textId="6F4D6756" w:rsidR="00344051" w:rsidRPr="00FF6FEA" w:rsidRDefault="00344051" w:rsidP="00344051">
      <w:pPr>
        <w:pStyle w:val="ListParagraph"/>
        <w:numPr>
          <w:ilvl w:val="0"/>
          <w:numId w:val="4"/>
        </w:numPr>
        <w:shd w:val="clear" w:color="auto" w:fill="FFFFFF"/>
        <w:spacing w:after="0" w:line="288" w:lineRule="auto"/>
        <w:ind w:left="709" w:hanging="283"/>
        <w:jc w:val="both"/>
        <w:rPr>
          <w:rFonts w:cstheme="minorHAnsi"/>
          <w:color w:val="000000"/>
        </w:rPr>
      </w:pPr>
      <w:r w:rsidRPr="00FF6FEA">
        <w:rPr>
          <w:rFonts w:cstheme="minorHAnsi"/>
          <w:color w:val="000000"/>
        </w:rPr>
        <w:t>Az elszámolási kockázat csökkentése érdekében, a forgalmat átadó fél bankgarancia állítására köteles, melynek összege az éves előrejelzésben megadott két legmagasabb forgalmú hónap alapján kerül meghatározásra.</w:t>
      </w:r>
    </w:p>
    <w:p w14:paraId="37ABF8F0" w14:textId="77777777" w:rsidR="005B4184" w:rsidRPr="00FF6FEA" w:rsidRDefault="005B4184" w:rsidP="005B4184">
      <w:pPr>
        <w:shd w:val="clear" w:color="auto" w:fill="FFFFFF"/>
        <w:spacing w:after="0" w:line="288" w:lineRule="auto"/>
        <w:jc w:val="both"/>
        <w:rPr>
          <w:rFonts w:cstheme="minorHAnsi"/>
          <w:color w:val="000000"/>
        </w:rPr>
      </w:pPr>
    </w:p>
    <w:p w14:paraId="478E38BD" w14:textId="6062D757" w:rsidR="005B4184" w:rsidRPr="00FF6FEA" w:rsidRDefault="005B4184" w:rsidP="005B4184">
      <w:pPr>
        <w:pStyle w:val="Default"/>
        <w:numPr>
          <w:ilvl w:val="0"/>
          <w:numId w:val="18"/>
        </w:numPr>
        <w:spacing w:line="288" w:lineRule="auto"/>
        <w:jc w:val="both"/>
        <w:rPr>
          <w:rFonts w:asciiTheme="minorHAnsi" w:hAnsiTheme="minorHAnsi" w:cstheme="minorHAnsi"/>
          <w:b/>
          <w:bCs/>
          <w:sz w:val="22"/>
          <w:szCs w:val="22"/>
        </w:rPr>
      </w:pPr>
      <w:r w:rsidRPr="00FF6FEA">
        <w:rPr>
          <w:rFonts w:asciiTheme="minorHAnsi" w:hAnsiTheme="minorHAnsi" w:cstheme="minorHAnsi"/>
          <w:b/>
          <w:bCs/>
          <w:sz w:val="22"/>
          <w:szCs w:val="22"/>
        </w:rPr>
        <w:t>Átláthatóság</w:t>
      </w:r>
    </w:p>
    <w:p w14:paraId="4F949171" w14:textId="128753A4" w:rsidR="00367719" w:rsidRPr="00FF6FEA" w:rsidRDefault="00367719" w:rsidP="005B4184">
      <w:pPr>
        <w:shd w:val="clear" w:color="auto" w:fill="FFFFFF"/>
        <w:spacing w:after="0" w:line="288" w:lineRule="auto"/>
        <w:ind w:left="360"/>
        <w:jc w:val="both"/>
        <w:rPr>
          <w:rFonts w:cstheme="minorHAnsi"/>
          <w:color w:val="000000"/>
        </w:rPr>
      </w:pPr>
      <w:r w:rsidRPr="00FF6FEA">
        <w:rPr>
          <w:rFonts w:cstheme="minorHAnsi"/>
          <w:color w:val="000000"/>
        </w:rPr>
        <w:t xml:space="preserve">A fentieknek megfelelően a Telenor Magyarország ezúton is tájékoztatja leendő és meglévő partnereit az IP technológia alapú összekapcsolás bevezetéséről, ennek alapján a tájékoztatást az NMHH </w:t>
      </w:r>
      <w:hyperlink r:id="rId9" w:history="1">
        <w:r w:rsidRPr="00FF6FEA">
          <w:rPr>
            <w:rStyle w:val="Hyperlink"/>
            <w:rFonts w:cstheme="minorHAnsi"/>
          </w:rPr>
          <w:t>atlathatosag@nmhh.hu</w:t>
        </w:r>
      </w:hyperlink>
      <w:r w:rsidRPr="00FF6FEA">
        <w:rPr>
          <w:rFonts w:cstheme="minorHAnsi"/>
          <w:color w:val="000000"/>
        </w:rPr>
        <w:t xml:space="preserve"> e-mail címre megtette és vonatkozó információkat a honlapon is közzétette.</w:t>
      </w:r>
    </w:p>
    <w:p w14:paraId="29C6A2AB" w14:textId="77777777" w:rsidR="00344051" w:rsidRPr="00FF6FEA" w:rsidRDefault="00344051" w:rsidP="008428D7">
      <w:pPr>
        <w:spacing w:after="0" w:line="288" w:lineRule="auto"/>
        <w:jc w:val="both"/>
        <w:rPr>
          <w:rFonts w:cstheme="minorHAnsi"/>
        </w:rPr>
      </w:pPr>
    </w:p>
    <w:sectPr w:rsidR="00344051" w:rsidRPr="00FF6FEA" w:rsidSect="008428D7">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55F0" w14:textId="77777777" w:rsidR="007206E4" w:rsidRDefault="007206E4" w:rsidP="00EF7BF4">
      <w:pPr>
        <w:spacing w:after="0" w:line="240" w:lineRule="auto"/>
      </w:pPr>
      <w:r>
        <w:separator/>
      </w:r>
    </w:p>
  </w:endnote>
  <w:endnote w:type="continuationSeparator" w:id="0">
    <w:p w14:paraId="1165176D" w14:textId="77777777" w:rsidR="007206E4" w:rsidRDefault="007206E4" w:rsidP="00EF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61413"/>
      <w:docPartObj>
        <w:docPartGallery w:val="Page Numbers (Bottom of Page)"/>
        <w:docPartUnique/>
      </w:docPartObj>
    </w:sdtPr>
    <w:sdtEndPr>
      <w:rPr>
        <w:noProof/>
      </w:rPr>
    </w:sdtEndPr>
    <w:sdtContent>
      <w:p w14:paraId="6C8953B3" w14:textId="77777777" w:rsidR="00E93CD2" w:rsidRDefault="00E93CD2" w:rsidP="004E26C4">
        <w:pPr>
          <w:pStyle w:val="Footer"/>
          <w:jc w:val="right"/>
        </w:pPr>
        <w:r>
          <w:fldChar w:fldCharType="begin"/>
        </w:r>
        <w:r>
          <w:instrText xml:space="preserve"> PAGE   \* MERGEFORMAT </w:instrText>
        </w:r>
        <w:r>
          <w:fldChar w:fldCharType="separate"/>
        </w:r>
        <w:r w:rsidR="003D365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0D70" w14:textId="77777777" w:rsidR="007206E4" w:rsidRDefault="007206E4" w:rsidP="00EF7BF4">
      <w:pPr>
        <w:spacing w:after="0" w:line="240" w:lineRule="auto"/>
      </w:pPr>
      <w:r>
        <w:separator/>
      </w:r>
    </w:p>
  </w:footnote>
  <w:footnote w:type="continuationSeparator" w:id="0">
    <w:p w14:paraId="6C83E1B8" w14:textId="77777777" w:rsidR="007206E4" w:rsidRDefault="007206E4" w:rsidP="00EF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827A" w14:textId="77777777" w:rsidR="00E93CD2" w:rsidRDefault="00E93CD2">
    <w:pPr>
      <w:pStyle w:val="Header"/>
    </w:pPr>
    <w:r>
      <w:rPr>
        <w:noProof/>
        <w:lang w:eastAsia="hu-HU"/>
      </w:rPr>
      <mc:AlternateContent>
        <mc:Choice Requires="wps">
          <w:drawing>
            <wp:anchor distT="0" distB="0" distL="114300" distR="114300" simplePos="0" relativeHeight="251657216" behindDoc="0" locked="0" layoutInCell="0" allowOverlap="1" wp14:anchorId="6775F45A" wp14:editId="332C0BD8">
              <wp:simplePos x="0" y="0"/>
              <wp:positionH relativeFrom="page">
                <wp:posOffset>0</wp:posOffset>
              </wp:positionH>
              <wp:positionV relativeFrom="page">
                <wp:posOffset>190500</wp:posOffset>
              </wp:positionV>
              <wp:extent cx="7560310" cy="273050"/>
              <wp:effectExtent l="0" t="0" r="0" b="12700"/>
              <wp:wrapNone/>
              <wp:docPr id="1" name="MSIPCM71764de098dddc2630ce3183" descr="{&quot;HashCode&quot;:-2139627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CF2D91" w14:textId="1F5EE4C0" w:rsidR="00E93CD2" w:rsidRPr="00A34955" w:rsidRDefault="00E93CD2" w:rsidP="00A34955">
                          <w:pPr>
                            <w:spacing w:after="0"/>
                            <w:jc w:val="right"/>
                            <w:rPr>
                              <w:rFonts w:ascii="Calibri" w:hAnsi="Calibri" w:cs="Calibri"/>
                              <w:color w:val="000000"/>
                              <w:sz w:val="20"/>
                            </w:rPr>
                          </w:pPr>
                          <w:bookmarkStart w:id="3" w:name="_GoBack"/>
                          <w:bookmarkEnd w:id="3"/>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775F45A" id="_x0000_t202" coordsize="21600,21600" o:spt="202" path="m,l,21600r21600,l21600,xe">
              <v:stroke joinstyle="miter"/>
              <v:path gradientshapeok="t" o:connecttype="rect"/>
            </v:shapetype>
            <v:shape id="MSIPCM71764de098dddc2630ce3183" o:spid="_x0000_s1026" type="#_x0000_t202" alt="{&quot;HashCode&quot;:-213962797,&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P1ZB0EbAwAANwYAAA4AAAAAAAAAAAAA&#10;AAAALgIAAGRycy9lMm9Eb2MueG1sUEsBAi0AFAAGAAgAAAAhAHGfHV/dAAAABwEAAA8AAAAAAAAA&#10;AAAAAAAAdQUAAGRycy9kb3ducmV2LnhtbFBLBQYAAAAABAAEAPMAAAB/BgAAAAA=&#10;" o:allowincell="f" filled="f" stroked="f" strokeweight=".5pt">
              <v:textbox inset=",0,20pt,0">
                <w:txbxContent>
                  <w:p w14:paraId="3BCF2D91" w14:textId="1F5EE4C0" w:rsidR="00E93CD2" w:rsidRPr="00A34955" w:rsidRDefault="00E93CD2" w:rsidP="00A34955">
                    <w:pPr>
                      <w:spacing w:after="0"/>
                      <w:jc w:val="right"/>
                      <w:rPr>
                        <w:rFonts w:ascii="Calibri" w:hAnsi="Calibri" w:cs="Calibri"/>
                        <w:color w:val="000000"/>
                        <w:sz w:val="20"/>
                      </w:rPr>
                    </w:pPr>
                    <w:bookmarkStart w:id="4" w:name="_GoBack"/>
                    <w:bookmarkEnd w:id="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7B7"/>
    <w:multiLevelType w:val="hybridMultilevel"/>
    <w:tmpl w:val="6F3234CE"/>
    <w:lvl w:ilvl="0" w:tplc="DB10739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6A386C"/>
    <w:multiLevelType w:val="hybridMultilevel"/>
    <w:tmpl w:val="A0C2BB56"/>
    <w:lvl w:ilvl="0" w:tplc="151E7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E2B9D"/>
    <w:multiLevelType w:val="hybridMultilevel"/>
    <w:tmpl w:val="E48A1A4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0D4D6FA7"/>
    <w:multiLevelType w:val="hybridMultilevel"/>
    <w:tmpl w:val="3D180FEA"/>
    <w:lvl w:ilvl="0" w:tplc="151E7BB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1DF51B4"/>
    <w:multiLevelType w:val="hybridMultilevel"/>
    <w:tmpl w:val="3D984998"/>
    <w:lvl w:ilvl="0" w:tplc="151E7BBA">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12CF3F26"/>
    <w:multiLevelType w:val="hybridMultilevel"/>
    <w:tmpl w:val="9F8436B4"/>
    <w:lvl w:ilvl="0" w:tplc="DB107394">
      <w:start w:val="1"/>
      <w:numFmt w:val="decimal"/>
      <w:lvlText w:val="%1."/>
      <w:lvlJc w:val="left"/>
      <w:pPr>
        <w:ind w:left="1287" w:hanging="360"/>
      </w:pPr>
      <w:rPr>
        <w:rFonts w:hint="default"/>
      </w:rPr>
    </w:lvl>
    <w:lvl w:ilvl="1" w:tplc="FCEA2252">
      <w:numFmt w:val="bullet"/>
      <w:lvlText w:val="•"/>
      <w:lvlJc w:val="left"/>
      <w:pPr>
        <w:ind w:left="2007" w:hanging="360"/>
      </w:pPr>
      <w:rPr>
        <w:rFonts w:ascii="Times New Roman" w:eastAsiaTheme="minorHAnsi" w:hAnsi="Times New Roman" w:cs="Times New Roman"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A51489A"/>
    <w:multiLevelType w:val="hybridMultilevel"/>
    <w:tmpl w:val="11622642"/>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FF82594"/>
    <w:multiLevelType w:val="multilevel"/>
    <w:tmpl w:val="B794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A5DDE"/>
    <w:multiLevelType w:val="hybridMultilevel"/>
    <w:tmpl w:val="2D4C20DE"/>
    <w:lvl w:ilvl="0" w:tplc="836C25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7217F"/>
    <w:multiLevelType w:val="hybridMultilevel"/>
    <w:tmpl w:val="A1EC5926"/>
    <w:lvl w:ilvl="0" w:tplc="41ACD4F0">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9E2B07"/>
    <w:multiLevelType w:val="hybridMultilevel"/>
    <w:tmpl w:val="7C78775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28DE005F"/>
    <w:multiLevelType w:val="hybridMultilevel"/>
    <w:tmpl w:val="D8223F12"/>
    <w:lvl w:ilvl="0" w:tplc="80B2B986">
      <w:start w:val="2"/>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2" w15:restartNumberingAfterBreak="0">
    <w:nsid w:val="291257D2"/>
    <w:multiLevelType w:val="hybridMultilevel"/>
    <w:tmpl w:val="92BE0A78"/>
    <w:lvl w:ilvl="0" w:tplc="151E7BB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29C114E4"/>
    <w:multiLevelType w:val="hybridMultilevel"/>
    <w:tmpl w:val="6114CA4C"/>
    <w:lvl w:ilvl="0" w:tplc="FCEA225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AE9"/>
    <w:multiLevelType w:val="multilevel"/>
    <w:tmpl w:val="272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A5360"/>
    <w:multiLevelType w:val="hybridMultilevel"/>
    <w:tmpl w:val="C07AB66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361F0593"/>
    <w:multiLevelType w:val="hybridMultilevel"/>
    <w:tmpl w:val="12DC0648"/>
    <w:lvl w:ilvl="0" w:tplc="151E7BBA">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68A1598"/>
    <w:multiLevelType w:val="hybridMultilevel"/>
    <w:tmpl w:val="4F68A8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36FF1F84"/>
    <w:multiLevelType w:val="multilevel"/>
    <w:tmpl w:val="A40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237EA9"/>
    <w:multiLevelType w:val="hybridMultilevel"/>
    <w:tmpl w:val="F42AB49C"/>
    <w:lvl w:ilvl="0" w:tplc="151E7BB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A4142D"/>
    <w:multiLevelType w:val="hybridMultilevel"/>
    <w:tmpl w:val="06928EF6"/>
    <w:lvl w:ilvl="0" w:tplc="542443B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7717F8"/>
    <w:multiLevelType w:val="multilevel"/>
    <w:tmpl w:val="F42CFC6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lowerLetter"/>
      <w:lvlText w:val="%3)"/>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15:restartNumberingAfterBreak="0">
    <w:nsid w:val="432E6ECE"/>
    <w:multiLevelType w:val="hybridMultilevel"/>
    <w:tmpl w:val="7C787754"/>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15:restartNumberingAfterBreak="0">
    <w:nsid w:val="45551F49"/>
    <w:multiLevelType w:val="hybridMultilevel"/>
    <w:tmpl w:val="95D6B8DC"/>
    <w:lvl w:ilvl="0" w:tplc="BA8C2C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81D3EC6"/>
    <w:multiLevelType w:val="hybridMultilevel"/>
    <w:tmpl w:val="F1CCB4CC"/>
    <w:lvl w:ilvl="0" w:tplc="040E0003">
      <w:start w:val="1"/>
      <w:numFmt w:val="bullet"/>
      <w:lvlText w:val="o"/>
      <w:lvlJc w:val="left"/>
      <w:pPr>
        <w:ind w:left="1070" w:hanging="360"/>
      </w:pPr>
      <w:rPr>
        <w:rFonts w:ascii="Courier New" w:hAnsi="Courier New" w:cs="Courier New"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 w15:restartNumberingAfterBreak="0">
    <w:nsid w:val="4BA83984"/>
    <w:multiLevelType w:val="hybridMultilevel"/>
    <w:tmpl w:val="8A1604D4"/>
    <w:lvl w:ilvl="0" w:tplc="151E7BBA">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C867986"/>
    <w:multiLevelType w:val="hybridMultilevel"/>
    <w:tmpl w:val="B3A08470"/>
    <w:lvl w:ilvl="0" w:tplc="151E7BBA">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CC851A5"/>
    <w:multiLevelType w:val="hybridMultilevel"/>
    <w:tmpl w:val="6F3234CE"/>
    <w:lvl w:ilvl="0" w:tplc="DB10739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9C90E0F"/>
    <w:multiLevelType w:val="hybridMultilevel"/>
    <w:tmpl w:val="12C8051C"/>
    <w:lvl w:ilvl="0" w:tplc="151E7BB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15:restartNumberingAfterBreak="0">
    <w:nsid w:val="6B7832CA"/>
    <w:multiLevelType w:val="hybridMultilevel"/>
    <w:tmpl w:val="68AE5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BC50A93"/>
    <w:multiLevelType w:val="hybridMultilevel"/>
    <w:tmpl w:val="CB62080E"/>
    <w:lvl w:ilvl="0" w:tplc="151E7B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A203B"/>
    <w:multiLevelType w:val="hybridMultilevel"/>
    <w:tmpl w:val="7640E438"/>
    <w:lvl w:ilvl="0" w:tplc="80B2B986">
      <w:start w:val="2"/>
      <w:numFmt w:val="bullet"/>
      <w:lvlText w:val="-"/>
      <w:lvlJc w:val="left"/>
      <w:pPr>
        <w:ind w:left="1068" w:hanging="360"/>
      </w:pPr>
      <w:rPr>
        <w:rFonts w:ascii="Times New Roman" w:eastAsiaTheme="minorHAnsi"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7"/>
  </w:num>
  <w:num w:numId="2">
    <w:abstractNumId w:val="14"/>
  </w:num>
  <w:num w:numId="3">
    <w:abstractNumId w:val="18"/>
  </w:num>
  <w:num w:numId="4">
    <w:abstractNumId w:val="1"/>
  </w:num>
  <w:num w:numId="5">
    <w:abstractNumId w:val="8"/>
  </w:num>
  <w:num w:numId="6">
    <w:abstractNumId w:val="0"/>
  </w:num>
  <w:num w:numId="7">
    <w:abstractNumId w:val="23"/>
  </w:num>
  <w:num w:numId="8">
    <w:abstractNumId w:val="5"/>
  </w:num>
  <w:num w:numId="9">
    <w:abstractNumId w:val="27"/>
  </w:num>
  <w:num w:numId="10">
    <w:abstractNumId w:val="25"/>
  </w:num>
  <w:num w:numId="11">
    <w:abstractNumId w:val="30"/>
  </w:num>
  <w:num w:numId="12">
    <w:abstractNumId w:val="13"/>
  </w:num>
  <w:num w:numId="13">
    <w:abstractNumId w:val="20"/>
  </w:num>
  <w:num w:numId="14">
    <w:abstractNumId w:val="10"/>
  </w:num>
  <w:num w:numId="15">
    <w:abstractNumId w:val="2"/>
  </w:num>
  <w:num w:numId="16">
    <w:abstractNumId w:val="22"/>
  </w:num>
  <w:num w:numId="17">
    <w:abstractNumId w:val="11"/>
  </w:num>
  <w:num w:numId="18">
    <w:abstractNumId w:val="17"/>
  </w:num>
  <w:num w:numId="19">
    <w:abstractNumId w:val="9"/>
  </w:num>
  <w:num w:numId="20">
    <w:abstractNumId w:val="15"/>
  </w:num>
  <w:num w:numId="21">
    <w:abstractNumId w:val="6"/>
  </w:num>
  <w:num w:numId="22">
    <w:abstractNumId w:val="3"/>
  </w:num>
  <w:num w:numId="23">
    <w:abstractNumId w:val="12"/>
  </w:num>
  <w:num w:numId="24">
    <w:abstractNumId w:val="28"/>
  </w:num>
  <w:num w:numId="25">
    <w:abstractNumId w:val="4"/>
  </w:num>
  <w:num w:numId="26">
    <w:abstractNumId w:val="26"/>
  </w:num>
  <w:num w:numId="27">
    <w:abstractNumId w:val="16"/>
  </w:num>
  <w:num w:numId="28">
    <w:abstractNumId w:val="31"/>
  </w:num>
  <w:num w:numId="29">
    <w:abstractNumId w:val="19"/>
  </w:num>
  <w:num w:numId="30">
    <w:abstractNumId w:val="24"/>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3DE"/>
    <w:rsid w:val="00003463"/>
    <w:rsid w:val="000072D8"/>
    <w:rsid w:val="000147C0"/>
    <w:rsid w:val="0002211C"/>
    <w:rsid w:val="00047B54"/>
    <w:rsid w:val="00053FE4"/>
    <w:rsid w:val="00054676"/>
    <w:rsid w:val="00060E74"/>
    <w:rsid w:val="0008652F"/>
    <w:rsid w:val="000E37CD"/>
    <w:rsid w:val="00126972"/>
    <w:rsid w:val="0013707C"/>
    <w:rsid w:val="00142DEE"/>
    <w:rsid w:val="00190BA2"/>
    <w:rsid w:val="00194AD7"/>
    <w:rsid w:val="001A04C0"/>
    <w:rsid w:val="001C2385"/>
    <w:rsid w:val="001D2873"/>
    <w:rsid w:val="001D50C0"/>
    <w:rsid w:val="001E4199"/>
    <w:rsid w:val="002112FE"/>
    <w:rsid w:val="002232AF"/>
    <w:rsid w:val="00257425"/>
    <w:rsid w:val="00264AAC"/>
    <w:rsid w:val="002676F0"/>
    <w:rsid w:val="00270A90"/>
    <w:rsid w:val="00291476"/>
    <w:rsid w:val="0029237B"/>
    <w:rsid w:val="00297D0D"/>
    <w:rsid w:val="002A1A71"/>
    <w:rsid w:val="002C7B81"/>
    <w:rsid w:val="002D38C5"/>
    <w:rsid w:val="002D4CBD"/>
    <w:rsid w:val="002D5511"/>
    <w:rsid w:val="002F7474"/>
    <w:rsid w:val="00300B53"/>
    <w:rsid w:val="00301C78"/>
    <w:rsid w:val="00303A2B"/>
    <w:rsid w:val="003047C8"/>
    <w:rsid w:val="00330AB6"/>
    <w:rsid w:val="00344051"/>
    <w:rsid w:val="00367719"/>
    <w:rsid w:val="003728E2"/>
    <w:rsid w:val="003A4611"/>
    <w:rsid w:val="003A4A57"/>
    <w:rsid w:val="003A52E1"/>
    <w:rsid w:val="003B05F8"/>
    <w:rsid w:val="003B1AD7"/>
    <w:rsid w:val="003D365D"/>
    <w:rsid w:val="003E0B39"/>
    <w:rsid w:val="003E5AFE"/>
    <w:rsid w:val="003E76FA"/>
    <w:rsid w:val="003F2C48"/>
    <w:rsid w:val="003F5525"/>
    <w:rsid w:val="003F6EF1"/>
    <w:rsid w:val="00412EEC"/>
    <w:rsid w:val="0042306E"/>
    <w:rsid w:val="0042452F"/>
    <w:rsid w:val="00434F4A"/>
    <w:rsid w:val="00445D8D"/>
    <w:rsid w:val="00462D5B"/>
    <w:rsid w:val="00480778"/>
    <w:rsid w:val="004807C7"/>
    <w:rsid w:val="004A0D46"/>
    <w:rsid w:val="004A11A0"/>
    <w:rsid w:val="004C21E7"/>
    <w:rsid w:val="004D56E3"/>
    <w:rsid w:val="004E26C4"/>
    <w:rsid w:val="004E729F"/>
    <w:rsid w:val="004F17C1"/>
    <w:rsid w:val="004F4450"/>
    <w:rsid w:val="00502D26"/>
    <w:rsid w:val="005124A0"/>
    <w:rsid w:val="005413DE"/>
    <w:rsid w:val="005421A8"/>
    <w:rsid w:val="00572A86"/>
    <w:rsid w:val="00575020"/>
    <w:rsid w:val="005B4184"/>
    <w:rsid w:val="005C22DB"/>
    <w:rsid w:val="005D28FD"/>
    <w:rsid w:val="005D39CC"/>
    <w:rsid w:val="005E1358"/>
    <w:rsid w:val="005E36AB"/>
    <w:rsid w:val="005F00D0"/>
    <w:rsid w:val="006109DD"/>
    <w:rsid w:val="00620007"/>
    <w:rsid w:val="006330FA"/>
    <w:rsid w:val="00637C4F"/>
    <w:rsid w:val="00653F4A"/>
    <w:rsid w:val="006613CA"/>
    <w:rsid w:val="006764D5"/>
    <w:rsid w:val="0067780D"/>
    <w:rsid w:val="00682E2E"/>
    <w:rsid w:val="00686680"/>
    <w:rsid w:val="006A0778"/>
    <w:rsid w:val="006C494A"/>
    <w:rsid w:val="006C6944"/>
    <w:rsid w:val="006D1DEB"/>
    <w:rsid w:val="007206E4"/>
    <w:rsid w:val="00747E79"/>
    <w:rsid w:val="00756A60"/>
    <w:rsid w:val="00771987"/>
    <w:rsid w:val="00783EBB"/>
    <w:rsid w:val="00784457"/>
    <w:rsid w:val="00790455"/>
    <w:rsid w:val="007A04B1"/>
    <w:rsid w:val="007C28FD"/>
    <w:rsid w:val="007D07C2"/>
    <w:rsid w:val="007D1CE8"/>
    <w:rsid w:val="007E427A"/>
    <w:rsid w:val="00800CFA"/>
    <w:rsid w:val="00822AA4"/>
    <w:rsid w:val="008428D7"/>
    <w:rsid w:val="00845924"/>
    <w:rsid w:val="00866CF1"/>
    <w:rsid w:val="008760FB"/>
    <w:rsid w:val="008804FF"/>
    <w:rsid w:val="008B4307"/>
    <w:rsid w:val="008C32F2"/>
    <w:rsid w:val="008D0971"/>
    <w:rsid w:val="008D2893"/>
    <w:rsid w:val="00945379"/>
    <w:rsid w:val="0097286B"/>
    <w:rsid w:val="009748F7"/>
    <w:rsid w:val="0097717A"/>
    <w:rsid w:val="009829F8"/>
    <w:rsid w:val="00990C06"/>
    <w:rsid w:val="009A2DE3"/>
    <w:rsid w:val="009A6842"/>
    <w:rsid w:val="009C3812"/>
    <w:rsid w:val="009D0D93"/>
    <w:rsid w:val="009F161F"/>
    <w:rsid w:val="00A004A1"/>
    <w:rsid w:val="00A34955"/>
    <w:rsid w:val="00A61DD1"/>
    <w:rsid w:val="00AC7E76"/>
    <w:rsid w:val="00AF16FC"/>
    <w:rsid w:val="00AF29F6"/>
    <w:rsid w:val="00AF536B"/>
    <w:rsid w:val="00B10259"/>
    <w:rsid w:val="00B27874"/>
    <w:rsid w:val="00B35D74"/>
    <w:rsid w:val="00B4653B"/>
    <w:rsid w:val="00B541BC"/>
    <w:rsid w:val="00BB2E27"/>
    <w:rsid w:val="00BC067B"/>
    <w:rsid w:val="00BC1E89"/>
    <w:rsid w:val="00BC2820"/>
    <w:rsid w:val="00BD635B"/>
    <w:rsid w:val="00BE61EE"/>
    <w:rsid w:val="00BF11BB"/>
    <w:rsid w:val="00C058AF"/>
    <w:rsid w:val="00C33E97"/>
    <w:rsid w:val="00C66A37"/>
    <w:rsid w:val="00C749A9"/>
    <w:rsid w:val="00C753DE"/>
    <w:rsid w:val="00C921D2"/>
    <w:rsid w:val="00CE3C22"/>
    <w:rsid w:val="00CF5140"/>
    <w:rsid w:val="00D0629D"/>
    <w:rsid w:val="00D44BD5"/>
    <w:rsid w:val="00D55858"/>
    <w:rsid w:val="00D5686B"/>
    <w:rsid w:val="00D8591A"/>
    <w:rsid w:val="00DF4A9F"/>
    <w:rsid w:val="00E056FB"/>
    <w:rsid w:val="00E20BD7"/>
    <w:rsid w:val="00E77F8E"/>
    <w:rsid w:val="00E93CD2"/>
    <w:rsid w:val="00EB643D"/>
    <w:rsid w:val="00EE5883"/>
    <w:rsid w:val="00EF7BF4"/>
    <w:rsid w:val="00F00D18"/>
    <w:rsid w:val="00F121AE"/>
    <w:rsid w:val="00F311CB"/>
    <w:rsid w:val="00F40DDE"/>
    <w:rsid w:val="00F71B85"/>
    <w:rsid w:val="00F8363F"/>
    <w:rsid w:val="00F96243"/>
    <w:rsid w:val="00FA1BAC"/>
    <w:rsid w:val="00FA471E"/>
    <w:rsid w:val="00FD05A8"/>
    <w:rsid w:val="00FD6A7A"/>
    <w:rsid w:val="00FE3474"/>
    <w:rsid w:val="00FF6FEA"/>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8E9B6"/>
  <w15:docId w15:val="{0EC57102-214F-4326-82E2-B944DAE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3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6A37"/>
    <w:rPr>
      <w:color w:val="0000FF"/>
      <w:u w:val="single"/>
    </w:rPr>
  </w:style>
  <w:style w:type="paragraph" w:styleId="ListParagraph">
    <w:name w:val="List Paragraph"/>
    <w:basedOn w:val="Normal"/>
    <w:uiPriority w:val="34"/>
    <w:qFormat/>
    <w:rsid w:val="008428D7"/>
    <w:pPr>
      <w:ind w:left="720"/>
      <w:contextualSpacing/>
    </w:pPr>
  </w:style>
  <w:style w:type="paragraph" w:styleId="Header">
    <w:name w:val="header"/>
    <w:basedOn w:val="Normal"/>
    <w:link w:val="HeaderChar"/>
    <w:uiPriority w:val="99"/>
    <w:unhideWhenUsed/>
    <w:rsid w:val="00EF7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BF4"/>
  </w:style>
  <w:style w:type="paragraph" w:styleId="Footer">
    <w:name w:val="footer"/>
    <w:basedOn w:val="Normal"/>
    <w:link w:val="FooterChar"/>
    <w:uiPriority w:val="99"/>
    <w:unhideWhenUsed/>
    <w:rsid w:val="00EF7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BF4"/>
  </w:style>
  <w:style w:type="character" w:styleId="CommentReference">
    <w:name w:val="annotation reference"/>
    <w:basedOn w:val="DefaultParagraphFont"/>
    <w:uiPriority w:val="99"/>
    <w:semiHidden/>
    <w:unhideWhenUsed/>
    <w:rsid w:val="00575020"/>
    <w:rPr>
      <w:sz w:val="16"/>
      <w:szCs w:val="16"/>
    </w:rPr>
  </w:style>
  <w:style w:type="paragraph" w:styleId="CommentText">
    <w:name w:val="annotation text"/>
    <w:basedOn w:val="Normal"/>
    <w:link w:val="CommentTextChar"/>
    <w:uiPriority w:val="99"/>
    <w:semiHidden/>
    <w:unhideWhenUsed/>
    <w:rsid w:val="00575020"/>
    <w:pPr>
      <w:spacing w:line="240" w:lineRule="auto"/>
    </w:pPr>
    <w:rPr>
      <w:sz w:val="20"/>
      <w:szCs w:val="20"/>
    </w:rPr>
  </w:style>
  <w:style w:type="character" w:customStyle="1" w:styleId="CommentTextChar">
    <w:name w:val="Comment Text Char"/>
    <w:basedOn w:val="DefaultParagraphFont"/>
    <w:link w:val="CommentText"/>
    <w:uiPriority w:val="99"/>
    <w:semiHidden/>
    <w:rsid w:val="00575020"/>
    <w:rPr>
      <w:sz w:val="20"/>
      <w:szCs w:val="20"/>
    </w:rPr>
  </w:style>
  <w:style w:type="paragraph" w:styleId="CommentSubject">
    <w:name w:val="annotation subject"/>
    <w:basedOn w:val="CommentText"/>
    <w:next w:val="CommentText"/>
    <w:link w:val="CommentSubjectChar"/>
    <w:uiPriority w:val="99"/>
    <w:semiHidden/>
    <w:unhideWhenUsed/>
    <w:rsid w:val="00575020"/>
    <w:rPr>
      <w:b/>
      <w:bCs/>
    </w:rPr>
  </w:style>
  <w:style w:type="character" w:customStyle="1" w:styleId="CommentSubjectChar">
    <w:name w:val="Comment Subject Char"/>
    <w:basedOn w:val="CommentTextChar"/>
    <w:link w:val="CommentSubject"/>
    <w:uiPriority w:val="99"/>
    <w:semiHidden/>
    <w:rsid w:val="00575020"/>
    <w:rPr>
      <w:b/>
      <w:bCs/>
      <w:sz w:val="20"/>
      <w:szCs w:val="20"/>
    </w:rPr>
  </w:style>
  <w:style w:type="paragraph" w:styleId="BalloonText">
    <w:name w:val="Balloon Text"/>
    <w:basedOn w:val="Normal"/>
    <w:link w:val="BalloonTextChar"/>
    <w:uiPriority w:val="99"/>
    <w:semiHidden/>
    <w:unhideWhenUsed/>
    <w:rsid w:val="0057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20"/>
    <w:rPr>
      <w:rFonts w:ascii="Tahoma" w:hAnsi="Tahoma" w:cs="Tahoma"/>
      <w:sz w:val="16"/>
      <w:szCs w:val="16"/>
    </w:rPr>
  </w:style>
  <w:style w:type="paragraph" w:customStyle="1" w:styleId="C">
    <w:name w:val="C"/>
    <w:basedOn w:val="Normal"/>
    <w:rsid w:val="004807C7"/>
    <w:pPr>
      <w:spacing w:after="0" w:line="240" w:lineRule="auto"/>
      <w:ind w:left="680" w:hanging="113"/>
      <w:jc w:val="both"/>
    </w:pPr>
    <w:rPr>
      <w:rFonts w:ascii="Times New Roman" w:eastAsia="Times New Roman" w:hAnsi="Times New Roman" w:cs="Times New Roman"/>
      <w:snapToGrid w:val="0"/>
      <w:sz w:val="24"/>
      <w:szCs w:val="20"/>
      <w:lang w:val="en-GB"/>
    </w:rPr>
  </w:style>
  <w:style w:type="paragraph" w:customStyle="1" w:styleId="h1">
    <w:name w:val="h1"/>
    <w:basedOn w:val="Normal"/>
    <w:link w:val="h1Char"/>
    <w:rsid w:val="00686680"/>
    <w:pPr>
      <w:numPr>
        <w:ilvl w:val="12"/>
      </w:numPr>
      <w:spacing w:before="240" w:after="120" w:line="240" w:lineRule="auto"/>
      <w:ind w:left="851"/>
      <w:jc w:val="both"/>
    </w:pPr>
    <w:rPr>
      <w:rFonts w:ascii="Times New Roman" w:eastAsia="Times New Roman" w:hAnsi="Times New Roman" w:cs="Times New Roman"/>
      <w:kern w:val="28"/>
      <w:sz w:val="24"/>
      <w:szCs w:val="24"/>
      <w:lang w:val="x-none"/>
    </w:rPr>
  </w:style>
  <w:style w:type="character" w:customStyle="1" w:styleId="h1Char">
    <w:name w:val="h1 Char"/>
    <w:link w:val="h1"/>
    <w:rsid w:val="00686680"/>
    <w:rPr>
      <w:rFonts w:ascii="Times New Roman" w:eastAsia="Times New Roman" w:hAnsi="Times New Roman" w:cs="Times New Roman"/>
      <w:kern w:val="28"/>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7305">
      <w:bodyDiv w:val="1"/>
      <w:marLeft w:val="0"/>
      <w:marRight w:val="0"/>
      <w:marTop w:val="0"/>
      <w:marBottom w:val="0"/>
      <w:divBdr>
        <w:top w:val="none" w:sz="0" w:space="0" w:color="auto"/>
        <w:left w:val="none" w:sz="0" w:space="0" w:color="auto"/>
        <w:bottom w:val="none" w:sz="0" w:space="0" w:color="auto"/>
        <w:right w:val="none" w:sz="0" w:space="0" w:color="auto"/>
      </w:divBdr>
    </w:div>
    <w:div w:id="252318984">
      <w:bodyDiv w:val="1"/>
      <w:marLeft w:val="0"/>
      <w:marRight w:val="0"/>
      <w:marTop w:val="0"/>
      <w:marBottom w:val="0"/>
      <w:divBdr>
        <w:top w:val="none" w:sz="0" w:space="0" w:color="auto"/>
        <w:left w:val="none" w:sz="0" w:space="0" w:color="auto"/>
        <w:bottom w:val="none" w:sz="0" w:space="0" w:color="auto"/>
        <w:right w:val="none" w:sz="0" w:space="0" w:color="auto"/>
      </w:divBdr>
    </w:div>
    <w:div w:id="411706865">
      <w:bodyDiv w:val="1"/>
      <w:marLeft w:val="0"/>
      <w:marRight w:val="0"/>
      <w:marTop w:val="0"/>
      <w:marBottom w:val="0"/>
      <w:divBdr>
        <w:top w:val="none" w:sz="0" w:space="0" w:color="auto"/>
        <w:left w:val="none" w:sz="0" w:space="0" w:color="auto"/>
        <w:bottom w:val="none" w:sz="0" w:space="0" w:color="auto"/>
        <w:right w:val="none" w:sz="0" w:space="0" w:color="auto"/>
      </w:divBdr>
    </w:div>
    <w:div w:id="859514837">
      <w:bodyDiv w:val="1"/>
      <w:marLeft w:val="0"/>
      <w:marRight w:val="0"/>
      <w:marTop w:val="0"/>
      <w:marBottom w:val="0"/>
      <w:divBdr>
        <w:top w:val="none" w:sz="0" w:space="0" w:color="auto"/>
        <w:left w:val="none" w:sz="0" w:space="0" w:color="auto"/>
        <w:bottom w:val="none" w:sz="0" w:space="0" w:color="auto"/>
        <w:right w:val="none" w:sz="0" w:space="0" w:color="auto"/>
      </w:divBdr>
    </w:div>
    <w:div w:id="1311790655">
      <w:bodyDiv w:val="1"/>
      <w:marLeft w:val="0"/>
      <w:marRight w:val="0"/>
      <w:marTop w:val="0"/>
      <w:marBottom w:val="0"/>
      <w:divBdr>
        <w:top w:val="none" w:sz="0" w:space="0" w:color="auto"/>
        <w:left w:val="none" w:sz="0" w:space="0" w:color="auto"/>
        <w:bottom w:val="none" w:sz="0" w:space="0" w:color="auto"/>
        <w:right w:val="none" w:sz="0" w:space="0" w:color="auto"/>
      </w:divBdr>
    </w:div>
    <w:div w:id="1811701819">
      <w:bodyDiv w:val="1"/>
      <w:marLeft w:val="0"/>
      <w:marRight w:val="0"/>
      <w:marTop w:val="0"/>
      <w:marBottom w:val="0"/>
      <w:divBdr>
        <w:top w:val="none" w:sz="0" w:space="0" w:color="auto"/>
        <w:left w:val="none" w:sz="0" w:space="0" w:color="auto"/>
        <w:bottom w:val="none" w:sz="0" w:space="0" w:color="auto"/>
        <w:right w:val="none" w:sz="0" w:space="0" w:color="auto"/>
      </w:divBdr>
    </w:div>
    <w:div w:id="1968270628">
      <w:bodyDiv w:val="1"/>
      <w:marLeft w:val="0"/>
      <w:marRight w:val="0"/>
      <w:marTop w:val="0"/>
      <w:marBottom w:val="0"/>
      <w:divBdr>
        <w:top w:val="none" w:sz="0" w:space="0" w:color="auto"/>
        <w:left w:val="none" w:sz="0" w:space="0" w:color="auto"/>
        <w:bottom w:val="none" w:sz="0" w:space="0" w:color="auto"/>
        <w:right w:val="none" w:sz="0" w:space="0" w:color="auto"/>
      </w:divBdr>
    </w:div>
    <w:div w:id="2049602210">
      <w:bodyDiv w:val="1"/>
      <w:marLeft w:val="0"/>
      <w:marRight w:val="0"/>
      <w:marTop w:val="0"/>
      <w:marBottom w:val="0"/>
      <w:divBdr>
        <w:top w:val="none" w:sz="0" w:space="0" w:color="auto"/>
        <w:left w:val="none" w:sz="0" w:space="0" w:color="auto"/>
        <w:bottom w:val="none" w:sz="0" w:space="0" w:color="auto"/>
        <w:right w:val="none" w:sz="0" w:space="0" w:color="auto"/>
      </w:divBdr>
      <w:divsChild>
        <w:div w:id="1206521169">
          <w:marLeft w:val="0"/>
          <w:marRight w:val="0"/>
          <w:marTop w:val="0"/>
          <w:marBottom w:val="225"/>
          <w:divBdr>
            <w:top w:val="none" w:sz="0" w:space="0" w:color="auto"/>
            <w:left w:val="none" w:sz="0" w:space="0" w:color="auto"/>
            <w:bottom w:val="none" w:sz="0" w:space="0" w:color="auto"/>
            <w:right w:val="none" w:sz="0" w:space="0" w:color="auto"/>
          </w:divBdr>
          <w:divsChild>
            <w:div w:id="805708481">
              <w:marLeft w:val="0"/>
              <w:marRight w:val="0"/>
              <w:marTop w:val="0"/>
              <w:marBottom w:val="0"/>
              <w:divBdr>
                <w:top w:val="none" w:sz="0" w:space="0" w:color="auto"/>
                <w:left w:val="none" w:sz="0" w:space="0" w:color="auto"/>
                <w:bottom w:val="none" w:sz="0" w:space="0" w:color="auto"/>
                <w:right w:val="none" w:sz="0" w:space="0" w:color="auto"/>
              </w:divBdr>
              <w:divsChild>
                <w:div w:id="615915153">
                  <w:marLeft w:val="0"/>
                  <w:marRight w:val="0"/>
                  <w:marTop w:val="0"/>
                  <w:marBottom w:val="0"/>
                  <w:divBdr>
                    <w:top w:val="none" w:sz="0" w:space="0" w:color="auto"/>
                    <w:left w:val="none" w:sz="0" w:space="0" w:color="auto"/>
                    <w:bottom w:val="none" w:sz="0" w:space="0" w:color="auto"/>
                    <w:right w:val="none" w:sz="0" w:space="0" w:color="auto"/>
                  </w:divBdr>
                  <w:divsChild>
                    <w:div w:id="1099909530">
                      <w:marLeft w:val="0"/>
                      <w:marRight w:val="0"/>
                      <w:marTop w:val="0"/>
                      <w:marBottom w:val="0"/>
                      <w:divBdr>
                        <w:top w:val="none" w:sz="0" w:space="0" w:color="auto"/>
                        <w:left w:val="none" w:sz="0" w:space="0" w:color="auto"/>
                        <w:bottom w:val="none" w:sz="0" w:space="0" w:color="auto"/>
                        <w:right w:val="none" w:sz="0" w:space="0" w:color="auto"/>
                      </w:divBdr>
                      <w:divsChild>
                        <w:div w:id="282618422">
                          <w:marLeft w:val="0"/>
                          <w:marRight w:val="0"/>
                          <w:marTop w:val="0"/>
                          <w:marBottom w:val="0"/>
                          <w:divBdr>
                            <w:top w:val="none" w:sz="0" w:space="0" w:color="auto"/>
                            <w:left w:val="none" w:sz="0" w:space="0" w:color="auto"/>
                            <w:bottom w:val="none" w:sz="0" w:space="0" w:color="auto"/>
                            <w:right w:val="none" w:sz="0" w:space="0" w:color="auto"/>
                          </w:divBdr>
                          <w:divsChild>
                            <w:div w:id="1863545821">
                              <w:marLeft w:val="0"/>
                              <w:marRight w:val="0"/>
                              <w:marTop w:val="0"/>
                              <w:marBottom w:val="0"/>
                              <w:divBdr>
                                <w:top w:val="none" w:sz="0" w:space="0" w:color="auto"/>
                                <w:left w:val="none" w:sz="0" w:space="0" w:color="auto"/>
                                <w:bottom w:val="none" w:sz="0" w:space="0" w:color="auto"/>
                                <w:right w:val="none" w:sz="0" w:space="0" w:color="auto"/>
                              </w:divBdr>
                              <w:divsChild>
                                <w:div w:id="575431917">
                                  <w:marLeft w:val="0"/>
                                  <w:marRight w:val="0"/>
                                  <w:marTop w:val="0"/>
                                  <w:marBottom w:val="0"/>
                                  <w:divBdr>
                                    <w:top w:val="none" w:sz="0" w:space="0" w:color="auto"/>
                                    <w:left w:val="none" w:sz="0" w:space="0" w:color="auto"/>
                                    <w:bottom w:val="none" w:sz="0" w:space="0" w:color="auto"/>
                                    <w:right w:val="none" w:sz="0" w:space="0" w:color="auto"/>
                                  </w:divBdr>
                                  <w:divsChild>
                                    <w:div w:id="937955672">
                                      <w:marLeft w:val="75"/>
                                      <w:marRight w:val="75"/>
                                      <w:marTop w:val="45"/>
                                      <w:marBottom w:val="45"/>
                                      <w:divBdr>
                                        <w:top w:val="none" w:sz="0" w:space="0" w:color="auto"/>
                                        <w:left w:val="none" w:sz="0" w:space="0" w:color="auto"/>
                                        <w:bottom w:val="none" w:sz="0" w:space="0" w:color="auto"/>
                                        <w:right w:val="none" w:sz="0" w:space="0" w:color="auto"/>
                                      </w:divBdr>
                                    </w:div>
                                    <w:div w:id="1517309783">
                                      <w:marLeft w:val="75"/>
                                      <w:marRight w:val="75"/>
                                      <w:marTop w:val="45"/>
                                      <w:marBottom w:val="45"/>
                                      <w:divBdr>
                                        <w:top w:val="none" w:sz="0" w:space="0" w:color="auto"/>
                                        <w:left w:val="none" w:sz="0" w:space="0" w:color="auto"/>
                                        <w:bottom w:val="none" w:sz="0" w:space="0" w:color="auto"/>
                                        <w:right w:val="none" w:sz="0" w:space="0" w:color="auto"/>
                                      </w:divBdr>
                                    </w:div>
                                    <w:div w:id="170154240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tracker.ietf.org/doc/rfc7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tracker.ietf.org/doc/rfc8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lathatosag@nmh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2823</Words>
  <Characters>19480</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Telenor</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Ákos (TnCO)</dc:creator>
  <cp:lastModifiedBy>Simon Eszter</cp:lastModifiedBy>
  <cp:revision>6</cp:revision>
  <dcterms:created xsi:type="dcterms:W3CDTF">2020-04-09T08:55:00Z</dcterms:created>
  <dcterms:modified xsi:type="dcterms:W3CDTF">2020-04-09T11:53:00Z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89e4d0-9994-4017-a22b-6bd72fe052a7_Enabled">
    <vt:lpwstr>true</vt:lpwstr>
  </property>
  <property fmtid="{D5CDD505-2E9C-101B-9397-08002B2CF9AE}" pid="3" name="MSIP_Label_8189e4d0-9994-4017-a22b-6bd72fe052a7_SetDate">
    <vt:lpwstr>2019-12-04T14:15:11Z</vt:lpwstr>
  </property>
  <property fmtid="{D5CDD505-2E9C-101B-9397-08002B2CF9AE}" pid="4" name="MSIP_Label_8189e4d0-9994-4017-a22b-6bd72fe052a7_Method">
    <vt:lpwstr>Privileged</vt:lpwstr>
  </property>
  <property fmtid="{D5CDD505-2E9C-101B-9397-08002B2CF9AE}" pid="5" name="MSIP_Label_8189e4d0-9994-4017-a22b-6bd72fe052a7_Name">
    <vt:lpwstr>Company Internal</vt:lpwstr>
  </property>
  <property fmtid="{D5CDD505-2E9C-101B-9397-08002B2CF9AE}" pid="6" name="MSIP_Label_8189e4d0-9994-4017-a22b-6bd72fe052a7_SiteId">
    <vt:lpwstr>169bbd4f-4054-49cd-a5c7-0244ab23e3a8</vt:lpwstr>
  </property>
  <property fmtid="{D5CDD505-2E9C-101B-9397-08002B2CF9AE}" pid="7" name="MSIP_Label_8189e4d0-9994-4017-a22b-6bd72fe052a7_ActionId">
    <vt:lpwstr>425860e5-fb1a-4b91-aeba-00006c193ced</vt:lpwstr>
  </property>
  <property fmtid="{D5CDD505-2E9C-101B-9397-08002B2CF9AE}" pid="8" name="MSIP_Label_8189e4d0-9994-4017-a22b-6bd72fe052a7_ContentBits">
    <vt:lpwstr>1</vt:lpwstr>
  </property>
</Properties>
</file>